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bCs/>
        </w:rPr>
        <w:t>Verfügung</w:t>
      </w:r>
      <w:r>
        <w:rPr/>
        <w:t xml:space="preserve"> über die Zuständigkeit</w:t>
      </w:r>
      <w:r>
        <w:rPr>
          <w:rStyle w:val="FootnoteAnchor"/>
          <w:rStyle w:val="FootnoteAnchor"/>
        </w:rPr>
        <w:footnoteReference w:id="2"/>
      </w:r>
    </w:p>
    <w:tbl>
      <w:tblPr>
        <w:tblW w:w="9432" w:type="dxa"/>
        <w:jc w:val="left"/>
        <w:tblInd w:w="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spacing w:before="0" w:after="220"/>
              <w:rPr>
                <w:rFonts w:cs="Arial"/>
                <w:bCs/>
              </w:rPr>
            </w:pPr>
            <w:r>
              <w:rPr>
                <w:rFonts w:cs="Arial"/>
                <w:bCs/>
              </w:rPr>
              <w:t>Gemeinde</w:t>
            </w:r>
          </w:p>
        </w:tc>
        <w:tc>
          <w:tcPr>
            <w:tcW w:w="7376" w:type="dxa"/>
            <w:tcBorders/>
            <w:shd w:fill="auto" w:val="clear"/>
          </w:tcPr>
          <w:p>
            <w:pPr>
              <w:pStyle w:val="Normal"/>
              <w:spacing w:before="0" w:after="220"/>
              <w:rPr>
                <w:rFonts w:cs="Arial"/>
              </w:rPr>
            </w:pPr>
            <w:r>
              <w:rPr>
                <w:rFonts w:cs="Arial"/>
              </w:rPr>
              <w:t>{{MUNICIPALITY}}</w:t>
            </w:r>
          </w:p>
        </w:tc>
      </w:tr>
      <w:tr>
        <w:trPr>
          <w:cantSplit w:val="true"/>
        </w:trPr>
        <w:tc>
          <w:tcPr>
            <w:tcW w:w="2055" w:type="dxa"/>
            <w:tcBorders/>
            <w:shd w:fill="auto" w:val="clear"/>
          </w:tcPr>
          <w:p>
            <w:pPr>
              <w:pStyle w:val="Normal"/>
              <w:spacing w:before="0" w:after="220"/>
              <w:rPr>
                <w:rFonts w:cs="Arial"/>
                <w:bCs/>
              </w:rPr>
            </w:pPr>
            <w:r>
              <w:rPr>
                <w:rFonts w:cs="Arial"/>
                <w:bCs/>
              </w:rPr>
              <w:t>Bauherrschaft</w:t>
            </w:r>
          </w:p>
        </w:tc>
        <w:tc>
          <w:tcPr>
            <w:tcW w:w="7376" w:type="dxa"/>
            <w:tcBorders/>
            <w:shd w:fill="auto" w:val="clear"/>
          </w:tcPr>
          <w:p>
            <w:pPr>
              <w:pStyle w:val="Normal"/>
              <w:spacing w:before="0" w:after="220"/>
              <w:rPr/>
            </w:pPr>
            <w:r>
              <w:rPr>
                <w:rFonts w:cs="Arial"/>
                <w:b w:val="false"/>
                <w:bCs w:val="false"/>
              </w:rPr>
              <w:t xml:space="preserve">{{GESUCHSTELLER_NAME_ADDRESS}} </w:t>
            </w:r>
            <w:r>
              <w:rPr>
                <w:rFonts w:cs="Arial"/>
                <w:b w:val="false"/>
                <w:bCs w:val="false"/>
                <w:szCs w:val="24"/>
              </w:rPr>
              <w:t>{{VERTRETER_NAME_ADDRESS and ", vertreten durch " + VERTRETER_NAME_ADDRESS}}</w:t>
            </w:r>
          </w:p>
        </w:tc>
      </w:tr>
      <w:tr>
        <w:trPr>
          <w:cantSplit w:val="true"/>
        </w:trPr>
        <w:tc>
          <w:tcPr>
            <w:tcW w:w="2055" w:type="dxa"/>
            <w:tcBorders/>
            <w:shd w:fill="auto" w:val="clear"/>
          </w:tcPr>
          <w:p>
            <w:pPr>
              <w:pStyle w:val="Normal"/>
              <w:spacing w:before="0" w:after="220"/>
              <w:rPr>
                <w:rFonts w:cs="Arial"/>
                <w:bCs/>
              </w:rPr>
            </w:pPr>
            <w:r>
              <w:rPr>
                <w:rFonts w:cs="Arial"/>
                <w:bCs/>
                <w:highlight w:val="green"/>
              </w:rPr>
              <w:t>Einsprecher</w:t>
            </w:r>
          </w:p>
        </w:tc>
        <w:tc>
          <w:tcPr>
            <w:tcW w:w="7376" w:type="dxa"/>
            <w:tcBorders/>
            <w:shd w:fill="auto" w:val="clear"/>
          </w:tcPr>
          <w:p>
            <w:pPr>
              <w:pStyle w:val="Normal"/>
              <w:spacing w:before="0" w:after="220"/>
              <w:rPr>
                <w:rFonts w:cs="Arial"/>
                <w:b w:val="false"/>
                <w:b w:val="false"/>
                <w:bCs w:val="false"/>
              </w:rPr>
            </w:pPr>
            <w:r>
              <w:rPr>
                <w:rFonts w:cs="Arial"/>
                <w:b w:val="false"/>
                <w:bCs w:val="false"/>
              </w:rPr>
            </w:r>
          </w:p>
        </w:tc>
      </w:tr>
      <w:tr>
        <w:trPr>
          <w:cantSplit w:val="true"/>
        </w:trPr>
        <w:tc>
          <w:tcPr>
            <w:tcW w:w="2055" w:type="dxa"/>
            <w:tcBorders/>
            <w:shd w:fill="auto" w:val="clear"/>
          </w:tcPr>
          <w:p>
            <w:pPr>
              <w:pStyle w:val="Normal"/>
              <w:spacing w:before="0" w:after="22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val="false"/>
                <w:b w:val="false"/>
                <w:bCs w:val="false"/>
              </w:rPr>
            </w:pPr>
            <w:r>
              <w:rPr>
                <w:rFonts w:cs="Arial"/>
                <w:b w:val="false"/>
                <w:bCs w:val="false"/>
              </w:rPr>
              <w:t>{{BAUVORHABEN}}</w:t>
            </w:r>
          </w:p>
        </w:tc>
      </w:tr>
      <w:tr>
        <w:trPr>
          <w:cantSplit w:val="true"/>
        </w:trPr>
        <w:tc>
          <w:tcPr>
            <w:tcW w:w="2055" w:type="dxa"/>
            <w:tcBorders/>
            <w:shd w:fill="auto" w:val="clear"/>
          </w:tcPr>
          <w:p>
            <w:pPr>
              <w:pStyle w:val="Normal"/>
              <w:spacing w:before="0" w:after="220"/>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t>{{ADDRESS}}, {{PARZELLE}}</w:t>
            </w:r>
          </w:p>
        </w:tc>
      </w:tr>
    </w:tbl>
    <w:p>
      <w:pPr>
        <w:pStyle w:val="Heading1"/>
        <w:numPr>
          <w:ilvl w:val="0"/>
          <w:numId w:val="3"/>
        </w:numPr>
        <w:ind w:left="709" w:right="0" w:hanging="709"/>
        <w:rPr/>
      </w:pPr>
      <w:r>
        <w:rPr/>
        <w:t>Erwägungen</w:t>
      </w:r>
    </w:p>
    <w:p>
      <w:pPr>
        <w:pStyle w:val="Heading2"/>
        <w:numPr>
          <w:ilvl w:val="1"/>
          <w:numId w:val="3"/>
        </w:numPr>
        <w:ind w:left="709" w:right="0" w:hanging="709"/>
        <w:rPr>
          <w:lang w:eastAsia="de-CH"/>
        </w:rPr>
      </w:pPr>
      <w:r>
        <w:rPr>
          <w:lang w:eastAsia="de-CH"/>
        </w:rPr>
        <w:t xml:space="preserve">Baubewilligungsbehörde ist der Regierungsstatthalter bzw. die Regierungsstatthalterin oder die zuständige Behörde der Gemeinde. </w:t>
      </w:r>
    </w:p>
    <w:p>
      <w:pPr>
        <w:pStyle w:val="Heading2"/>
        <w:numPr>
          <w:ilvl w:val="1"/>
          <w:numId w:val="3"/>
        </w:numPr>
        <w:ind w:left="709" w:right="0" w:hanging="709"/>
        <w:rPr>
          <w:lang w:eastAsia="de-CH"/>
        </w:rPr>
      </w:pPr>
      <w:r>
        <w:rPr>
          <w:lang w:eastAsia="de-CH"/>
        </w:rPr>
        <w:t>Örtlich zuständig für die Bewilligung sind die Behörden am Ort des Baugrundstücks.</w:t>
      </w:r>
    </w:p>
    <w:p>
      <w:pPr>
        <w:pStyle w:val="Heading2"/>
        <w:numPr>
          <w:ilvl w:val="1"/>
          <w:numId w:val="3"/>
        </w:numPr>
        <w:ind w:left="709" w:right="0" w:hanging="709"/>
        <w:rPr/>
      </w:pPr>
      <w:r>
        <w:rPr>
          <w:rFonts w:cs="Arial"/>
          <w:szCs w:val="22"/>
        </w:rPr>
        <w:t>Gemeinden mit weniger als 10'000 Einwohnern (kleine Gemeinden) sind zuständig für die Beurteilung der im Baubewilligungsdekret</w:t>
      </w:r>
      <w:r>
        <w:rPr>
          <w:rStyle w:val="FootnoteAnchor"/>
          <w:rStyle w:val="FootnoteAnchor"/>
          <w:rFonts w:cs="Arial"/>
          <w:szCs w:val="22"/>
        </w:rPr>
        <w:footnoteReference w:id="3"/>
      </w:r>
      <w:r>
        <w:rPr>
          <w:rFonts w:cs="Arial"/>
          <w:szCs w:val="22"/>
        </w:rPr>
        <w:t xml:space="preserve"> umschriebenen Bauvorhaben mit geringem Koordinationsaufwand.</w:t>
      </w:r>
      <w:r>
        <w:rPr>
          <w:rStyle w:val="FootnoteAnchor"/>
          <w:rStyle w:val="FootnoteAnchor"/>
          <w:rFonts w:cs="Arial"/>
          <w:szCs w:val="22"/>
        </w:rPr>
        <w:footnoteReference w:id="4"/>
      </w:r>
      <w:r>
        <w:rPr>
          <w:rFonts w:cs="Arial"/>
          <w:szCs w:val="22"/>
        </w:rPr>
        <w:br/>
      </w:r>
      <w:r>
        <w:rPr>
          <w:rFonts w:cs="Arial"/>
          <w:szCs w:val="22"/>
          <w:highlight w:val="green"/>
        </w:rPr>
        <w:t xml:space="preserve">Begründung </w:t>
      </w:r>
      <w:r>
        <w:rPr>
          <w:rFonts w:cs="Arial"/>
          <w:szCs w:val="22"/>
        </w:rPr>
        <w:br/>
        <w:t>Das Bauvorhaben erfordert erhöhte Koordination. Gemäss Art. 8 ff. BewD fällt dadurch das Baubewilligungsverfahren in die sachliche Kompetenz des Regierungsstatthalteramts. Da das Bauvorhaben in der Gemeinde {{MUNICIPALITY}} liegt, ist das {{LEITBEHOERDE_NAME}} auch örtlich zuständig.</w:t>
      </w:r>
    </w:p>
    <w:p>
      <w:pPr>
        <w:pStyle w:val="Heading2"/>
        <w:numPr>
          <w:ilvl w:val="0"/>
          <w:numId w:val="0"/>
        </w:numPr>
        <w:ind w:left="709" w:right="0" w:hanging="709"/>
        <w:rPr>
          <w:rFonts w:cs="Arial"/>
          <w:szCs w:val="22"/>
        </w:rPr>
      </w:pPr>
      <w:r>
        <w:rPr>
          <w:rFonts w:cs="Arial"/>
          <w:color w:val="auto"/>
          <w:szCs w:val="22"/>
          <w:highlight w:val="red"/>
        </w:rPr>
        <w:t>oder</w:t>
      </w:r>
    </w:p>
    <w:p>
      <w:pPr>
        <w:pStyle w:val="Heading2"/>
        <w:numPr>
          <w:ilvl w:val="1"/>
          <w:numId w:val="3"/>
        </w:numPr>
        <w:ind w:left="709" w:right="0" w:hanging="709"/>
        <w:rPr/>
      </w:pPr>
      <w:r>
        <w:rPr>
          <w:rFonts w:cs="Arial"/>
          <w:szCs w:val="22"/>
        </w:rPr>
        <w:t>Gemeinden mit weniger als 10'000 Einwohnern (kleine Gemeinden) sind zuständig für die Beurteilung der im Baubewilligungsdekret</w:t>
      </w:r>
      <w:r>
        <w:rPr>
          <w:rStyle w:val="FootnoteAnchor"/>
          <w:rStyle w:val="FootnoteAnchor"/>
          <w:rFonts w:cs="Arial"/>
          <w:szCs w:val="22"/>
        </w:rPr>
        <w:footnoteReference w:id="5"/>
      </w:r>
      <w:r>
        <w:rPr>
          <w:rFonts w:cs="Arial"/>
          <w:szCs w:val="22"/>
        </w:rPr>
        <w:t xml:space="preserve"> umschriebenen Bauvorhaben mit geringem Koordinationsaufwand.</w:t>
      </w:r>
      <w:r>
        <w:rPr>
          <w:rStyle w:val="FootnoteAnchor"/>
          <w:rStyle w:val="FootnoteAnchor"/>
          <w:rFonts w:cs="Arial"/>
          <w:szCs w:val="22"/>
        </w:rPr>
        <w:footnoteReference w:id="6"/>
      </w:r>
      <w:r>
        <w:rPr>
          <w:rFonts w:cs="Arial"/>
          <w:szCs w:val="22"/>
        </w:rPr>
        <w:t xml:space="preserve"> Die Baubewilligungskompetenz entfällt bei einer kleinen Gemeinde, wenn die Baukosten eine Million Franken übersteigen.</w:t>
      </w:r>
      <w:r>
        <w:rPr>
          <w:rStyle w:val="FootnoteAnchor"/>
          <w:rStyle w:val="FootnoteAnchor"/>
          <w:rFonts w:cs="Arial"/>
          <w:szCs w:val="22"/>
        </w:rPr>
        <w:footnoteReference w:id="7"/>
      </w:r>
      <w:r>
        <w:rPr>
          <w:rFonts w:cs="Arial"/>
          <w:szCs w:val="22"/>
        </w:rPr>
        <w:t xml:space="preserve"> </w:t>
        <w:br/>
      </w:r>
      <w:r>
        <w:rPr>
          <w:rFonts w:cs="Arial"/>
          <w:szCs w:val="22"/>
          <w:highlight w:val="green"/>
        </w:rPr>
        <w:t xml:space="preserve">Begründung </w:t>
      </w:r>
      <w:r>
        <w:rPr>
          <w:rFonts w:cs="Arial"/>
          <w:szCs w:val="22"/>
        </w:rPr>
        <w:br/>
      </w:r>
      <w:r>
        <w:rPr/>
        <w:t>Die Baukosten für das Bauvorhaben übersteigen diesen Betrag. Da das Bauvorhaben in der Gemeinde {{MUNICIPALITY}} liegt, ist das {{LEITBEHOERDE_NAME}}</w:t>
      </w:r>
      <w:r>
        <w:rPr>
          <w:rFonts w:cs="Arial"/>
          <w:szCs w:val="22"/>
        </w:rPr>
        <w:t xml:space="preserve"> </w:t>
      </w:r>
      <w:r>
        <w:rPr/>
        <w:t>auch örtlich zuständig.</w:t>
      </w:r>
    </w:p>
    <w:p>
      <w:pPr>
        <w:pStyle w:val="Heading2"/>
        <w:numPr>
          <w:ilvl w:val="0"/>
          <w:numId w:val="0"/>
        </w:numPr>
        <w:ind w:left="709" w:right="0" w:hanging="709"/>
        <w:rPr>
          <w:color w:val="auto"/>
          <w:highlight w:val="red"/>
        </w:rPr>
      </w:pPr>
      <w:r>
        <w:rPr>
          <w:color w:val="auto"/>
          <w:highlight w:val="red"/>
        </w:rPr>
        <w:t>oder</w:t>
      </w:r>
    </w:p>
    <w:p>
      <w:pPr>
        <w:pStyle w:val="Heading2"/>
        <w:numPr>
          <w:ilvl w:val="1"/>
          <w:numId w:val="3"/>
        </w:numPr>
        <w:ind w:left="709" w:right="0"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Style w:val="FootnoteAnchor"/>
        </w:rPr>
        <w:footnoteReference w:id="8"/>
      </w:r>
      <w:r>
        <w:rPr/>
        <w:br/>
      </w:r>
      <w:r>
        <w:rPr>
          <w:highlight w:val="green"/>
        </w:rPr>
        <w:t xml:space="preserve">Begründung </w:t>
      </w:r>
      <w:r>
        <w:rPr/>
        <w:br/>
        <w:t>Das Bauvorhaben ist für Zwecke der Gemeinde {{MUNICIPALITY}} bestimmt. Daher fällt das Baubewilligungsverfahren in die sachliche Kompetenz des Regierungsstatthalteramts. Da das Bauvorhaben in der Gemeinde {{MUNICIPALITY}} realisiert werden soll, ist das {{LEITBEHOERDE_NAME}} auch örtlich zuständig.</w:t>
      </w:r>
    </w:p>
    <w:p>
      <w:pPr>
        <w:pStyle w:val="Heading2"/>
        <w:numPr>
          <w:ilvl w:val="0"/>
          <w:numId w:val="0"/>
        </w:numPr>
        <w:ind w:left="709" w:right="0" w:hanging="709"/>
        <w:rPr>
          <w:color w:val="auto"/>
          <w:highlight w:val="red"/>
        </w:rPr>
      </w:pPr>
      <w:r>
        <w:rPr>
          <w:color w:val="auto"/>
          <w:highlight w:val="red"/>
        </w:rPr>
        <w:t>oder</w:t>
      </w:r>
    </w:p>
    <w:p>
      <w:pPr>
        <w:pStyle w:val="Heading2"/>
        <w:numPr>
          <w:ilvl w:val="1"/>
          <w:numId w:val="3"/>
        </w:numPr>
        <w:ind w:left="709" w:right="0"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Style w:val="FootnoteAnchor"/>
        </w:rPr>
        <w:footnoteReference w:id="9"/>
      </w:r>
      <w:r>
        <w:rPr/>
        <w:br/>
      </w:r>
      <w:r>
        <w:rPr>
          <w:highlight w:val="green"/>
        </w:rPr>
        <w:t>Begründung</w:t>
      </w:r>
      <w:r>
        <w:rPr/>
        <w:br/>
        <w:t>Das Bauvorhaben betrifft einen Gastgewerbebetrieb. Daher fällt das Baubewilligungsverfahren in die sachliche Kompetenz des Regierungsstatthalteramts. Da das Bauvorhaben in der Gemeinde {{MUNICIPALITY}} liegt, ist das {{LEITBEHOERDE_NAME}}</w:t>
      </w:r>
      <w:r>
        <w:rPr>
          <w:rFonts w:cs="Arial"/>
          <w:szCs w:val="22"/>
        </w:rPr>
        <w:t xml:space="preserve"> </w:t>
      </w:r>
      <w:r>
        <w:rPr/>
        <w:t>auch örtlich zuständig.</w:t>
      </w:r>
    </w:p>
    <w:p>
      <w:pPr>
        <w:pStyle w:val="Heading2"/>
        <w:numPr>
          <w:ilvl w:val="1"/>
          <w:numId w:val="3"/>
        </w:numPr>
        <w:ind w:left="709" w:right="0" w:hanging="709"/>
        <w:rPr/>
      </w:pPr>
      <w:r>
        <w:rPr/>
        <w:t>Erwägungen</w:t>
      </w:r>
    </w:p>
    <w:p>
      <w:pPr>
        <w:pStyle w:val="Heading2"/>
        <w:numPr>
          <w:ilvl w:val="1"/>
          <w:numId w:val="3"/>
        </w:numPr>
        <w:ind w:left="709" w:right="0" w:hanging="709"/>
        <w:rPr/>
      </w:pPr>
      <w:r>
        <w:rPr/>
        <w:t>Die Gebühren werden auf CHF {{GEBUEHREN_TOTAL}} festgesetzt.</w:t>
      </w:r>
      <w:r>
        <w:rPr>
          <w:rStyle w:val="FootnoteAnchor"/>
          <w:rStyle w:val="FootnoteAnchor"/>
        </w:rPr>
        <w:footnoteReference w:id="10"/>
      </w:r>
    </w:p>
    <w:p>
      <w:pPr>
        <w:pStyle w:val="Heading1"/>
        <w:numPr>
          <w:ilvl w:val="0"/>
          <w:numId w:val="3"/>
        </w:numPr>
        <w:ind w:left="709" w:right="0" w:hanging="709"/>
        <w:rPr/>
      </w:pPr>
      <w:r>
        <w:rPr/>
        <w:t>Verfügung</w:t>
      </w:r>
    </w:p>
    <w:p>
      <w:pPr>
        <w:pStyle w:val="Heading2"/>
        <w:numPr>
          <w:ilvl w:val="1"/>
          <w:numId w:val="3"/>
        </w:numPr>
        <w:ind w:left="709" w:right="0" w:hanging="709"/>
        <w:rPr/>
      </w:pPr>
      <w:r>
        <w:rPr>
          <w:rFonts w:cs="Arial"/>
          <w:bCs w:val="false"/>
          <w:iCs/>
          <w:szCs w:val="22"/>
        </w:rPr>
        <w:t xml:space="preserve">Für das Bauvorhaben </w:t>
      </w:r>
      <w:r>
        <w:rPr/>
        <w:t>{{BAUVORHABEN}}</w:t>
      </w:r>
      <w:r>
        <w:rPr>
          <w:rFonts w:cs="Arial"/>
          <w:bCs w:val="false"/>
          <w:iCs/>
          <w:szCs w:val="22"/>
        </w:rPr>
        <w:t xml:space="preserve"> auf der Parzelle {{MUNICIPALITY}}-</w:t>
      </w:r>
      <w:r>
        <w:rPr>
          <w:rFonts w:cs="Arial"/>
          <w:bCs w:val="false"/>
          <w:iCs/>
          <w:szCs w:val="22"/>
          <w:highlight w:val="green"/>
        </w:rPr>
        <w:t>Gbbl Nr.</w:t>
      </w:r>
      <w:bookmarkStart w:id="0" w:name="__Fieldmark__4872_2528924149"/>
      <w:bookmarkEnd w:id="0"/>
      <w:r>
        <w:rPr>
          <w:rFonts w:cs="Arial"/>
          <w:bCs w:val="false"/>
          <w:iCs/>
          <w:szCs w:val="22"/>
          <w:highlight w:val="green"/>
        </w:rPr>
        <w:t xml:space="preserve"> </w:t>
      </w:r>
      <w:r>
        <w:rPr/>
        <w:t>Parzelle Nr.{{PARZELLE}}</w:t>
      </w:r>
      <w:r>
        <w:rPr>
          <w:rFonts w:cs="Arial"/>
          <w:szCs w:val="22"/>
        </w:rPr>
        <w:t xml:space="preserve"> </w:t>
      </w:r>
      <w:r>
        <w:rPr>
          <w:rFonts w:cs="Arial"/>
          <w:bCs w:val="false"/>
          <w:iCs/>
          <w:szCs w:val="22"/>
        </w:rPr>
        <w:t xml:space="preserve">ist die </w:t>
      </w:r>
      <w:r>
        <w:rPr>
          <w:rFonts w:cs="Arial"/>
          <w:szCs w:val="22"/>
        </w:rPr>
        <w:t xml:space="preserve">Gemeinde {{MUNICIPALITY}} </w:t>
      </w:r>
      <w:r>
        <w:rPr>
          <w:rFonts w:cs="Arial"/>
          <w:bCs w:val="false"/>
          <w:iCs/>
          <w:szCs w:val="22"/>
        </w:rPr>
        <w:t>/ das {{LEITBEHOERDE_NAME}} die zuständige Baubewilligungsbehörde.</w:t>
      </w:r>
    </w:p>
    <w:p>
      <w:pPr>
        <w:pStyle w:val="Heading2"/>
        <w:numPr>
          <w:ilvl w:val="1"/>
          <w:numId w:val="3"/>
        </w:numPr>
        <w:ind w:left="709" w:right="0" w:hanging="709"/>
        <w:rPr/>
      </w:pPr>
      <w:r>
        <w:rPr/>
        <w:t>Die Gebühren von CHF {{GEBUEHREN_TOTAL}} werden dem/der Gesuchsteller/in auferlegt. Die Rechnung folgt mit separater Post.</w:t>
      </w:r>
    </w:p>
    <w:p>
      <w:pPr>
        <w:pStyle w:val="Heading2"/>
        <w:numPr>
          <w:ilvl w:val="1"/>
          <w:numId w:val="3"/>
        </w:numPr>
        <w:spacing w:before="0" w:after="0"/>
        <w:ind w:left="709" w:right="0" w:hanging="709"/>
        <w:rPr/>
      </w:pPr>
      <w:bookmarkStart w:id="1" w:name="Dropdown60"/>
      <w:bookmarkEnd w:id="1"/>
      <w:r>
        <w:rPr/>
        <w:t>Eröffnung</w:t>
      </w:r>
    </w:p>
    <w:p>
      <w:pPr>
        <w:pStyle w:val="Aufzhlung"/>
        <w:numPr>
          <w:ilvl w:val="0"/>
          <w:numId w:val="2"/>
        </w:numPr>
        <w:rPr/>
      </w:pPr>
      <w:r>
        <w:rPr>
          <w:b w:val="false"/>
          <w:bCs w:val="false"/>
        </w:rPr>
        <w:t>Rechtsanwalt / Rechtsanwältin {{VERTRETER_NAME_ADDRESS}}, zuhanden der Gesuchstellerin / des Gesuchsstellers {{GESUCHSTELLER_NAME_ADDRESS}}</w:t>
      </w:r>
      <w:r>
        <w:rPr>
          <w:rFonts w:cs="Arial"/>
          <w:b w:val="false"/>
          <w:bCs w:val="false"/>
        </w:rPr>
        <w:t xml:space="preserve">, </w:t>
      </w:r>
      <w:r>
        <w:rPr>
          <w:highlight w:val="green"/>
        </w:rPr>
        <w:t>Einschreiben / A-Post plus / A-Post</w:t>
      </w:r>
    </w:p>
    <w:p>
      <w:pPr>
        <w:pStyle w:val="Aufzhlung"/>
        <w:numPr>
          <w:ilvl w:val="0"/>
          <w:numId w:val="2"/>
        </w:numPr>
        <w:rPr/>
      </w:pPr>
      <w:r>
        <w:rPr/>
        <w:t xml:space="preserve">Gemeinde {{MUNICIPALITY}} </w:t>
      </w:r>
      <w:r>
        <w:rPr>
          <w:highlight w:val="green"/>
        </w:rPr>
        <w:t>Einschreiben / A-Post plus / A-Post</w:t>
      </w:r>
    </w:p>
    <w:p>
      <w:pPr>
        <w:pStyle w:val="Aufzhlung"/>
        <w:numPr>
          <w:ilvl w:val="0"/>
          <w:numId w:val="2"/>
        </w:numPr>
        <w:rPr/>
      </w:pPr>
      <w:r>
        <w:rPr/>
        <w:t>Intern</w:t>
      </w:r>
    </w:p>
    <w:tbl>
      <w:tblPr>
        <w:tblW w:w="3964" w:type="dxa"/>
        <w:jc w:val="left"/>
        <w:tblInd w:w="5502" w:type="dxa"/>
        <w:tblBorders/>
        <w:tblCellMar>
          <w:top w:w="0" w:type="dxa"/>
          <w:left w:w="0" w:type="dxa"/>
          <w:bottom w:w="0" w:type="dxa"/>
          <w:right w:w="0" w:type="dxa"/>
        </w:tblCellMar>
      </w:tblPr>
      <w:tblGrid>
        <w:gridCol w:w="3964"/>
      </w:tblGrid>
      <w:tr>
        <w:trPr/>
        <w:tc>
          <w:tcPr>
            <w:tcW w:w="3964" w:type="dxa"/>
            <w:tcBorders/>
            <w:shd w:fill="auto" w:val="clear"/>
          </w:tcPr>
          <w:p>
            <w:pPr>
              <w:pStyle w:val="Normal"/>
              <w:keepNext w:val="true"/>
              <w:keepLines/>
              <w:spacing w:before="200" w:after="220"/>
              <w:rPr/>
            </w:pPr>
            <w:bookmarkStart w:id="2" w:name="_GoBack"/>
            <w:bookmarkEnd w:id="2"/>
            <w:r>
              <w:rPr>
                <w:rStyle w:val="PlaceholderText"/>
                <w:b/>
                <w:color w:val="auto"/>
              </w:rPr>
              <w:t>{{LEITBEHOERDE}}</w:t>
            </w:r>
          </w:p>
        </w:tc>
      </w:tr>
      <w:tr>
        <w:trPr>
          <w:trHeight w:val="850" w:hRule="atLeast"/>
        </w:trPr>
        <w:tc>
          <w:tcPr>
            <w:tcW w:w="3964" w:type="dxa"/>
            <w:tcBorders/>
            <w:shd w:fill="auto" w:val="clear"/>
          </w:tcPr>
          <w:p>
            <w:pPr>
              <w:pStyle w:val="Normal"/>
              <w:keepNext w:val="true"/>
              <w:keepLines/>
              <w:spacing w:before="0" w:after="220"/>
              <w:rPr>
                <w:sz w:val="20"/>
              </w:rPr>
            </w:pPr>
            <w:r>
              <w:rPr>
                <w:sz w:val="20"/>
              </w:rPr>
            </w:r>
          </w:p>
        </w:tc>
      </w:tr>
      <w:tr>
        <w:trPr>
          <w:trHeight w:val="851" w:hRule="exact"/>
        </w:trPr>
        <w:tc>
          <w:tcPr>
            <w:tcW w:w="3964"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true"/>
        <w:spacing w:before="0" w:after="220"/>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Style w:val="FootnoteAnchor"/>
        </w:rPr>
        <w:footnoteReference w:id="11"/>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szCs w:val="16"/>
        </w:rPr>
        <w:t>Art. 33 BauG Baugesetz vom 9. Juni 1985, Stand 1. April 2017 (BauG; BSG 721).</w:t>
      </w:r>
    </w:p>
  </w:footnote>
  <w:footnote w:id="3">
    <w:p>
      <w:pPr>
        <w:pStyle w:val="Footnote"/>
        <w:rPr/>
      </w:pPr>
      <w:r>
        <w:rPr>
          <w:rStyle w:val="FootnoteCharacters"/>
        </w:rPr>
        <w:footnoteRef/>
      </w:r>
      <w:r>
        <w:rPr>
          <w:rStyle w:val="FootnoteCharacters"/>
        </w:rPr>
        <w:tab/>
      </w:r>
      <w:r>
        <w:rPr>
          <w:szCs w:val="16"/>
        </w:rPr>
        <w:t>Dekret über das Baubewilligungsverfahren vom 22. März 1994 (BewD; BSG 725.1).</w:t>
      </w:r>
    </w:p>
  </w:footnote>
  <w:footnote w:id="4">
    <w:p>
      <w:pPr>
        <w:pStyle w:val="Footnote"/>
        <w:rPr/>
      </w:pPr>
      <w:r>
        <w:rPr>
          <w:rStyle w:val="FootnoteCharacters"/>
        </w:rPr>
        <w:footnoteRef/>
      </w:r>
      <w:r>
        <w:rPr>
          <w:rStyle w:val="FootnoteCharacters"/>
        </w:rPr>
        <w:tab/>
      </w:r>
      <w:r>
        <w:rPr/>
        <w:t>Art. 33 Abs. 2 BauG.</w:t>
      </w:r>
    </w:p>
  </w:footnote>
  <w:footnote w:id="5">
    <w:p>
      <w:pPr>
        <w:pStyle w:val="Footnote"/>
        <w:rPr/>
      </w:pPr>
      <w:r>
        <w:rPr>
          <w:rStyle w:val="FootnoteCharacters"/>
        </w:rPr>
        <w:footnoteRef/>
      </w:r>
      <w:r>
        <w:rPr>
          <w:rStyle w:val="FootnoteCharacters"/>
        </w:rPr>
        <w:tab/>
      </w:r>
      <w:r>
        <w:rPr>
          <w:szCs w:val="16"/>
        </w:rPr>
        <w:t>Dekret über das Baubewilligungsverfahren vom 22. März 1994 (BewD; BSG 725.1).</w:t>
      </w:r>
    </w:p>
  </w:footnote>
  <w:footnote w:id="6">
    <w:p>
      <w:pPr>
        <w:pStyle w:val="Footnote"/>
        <w:rPr/>
      </w:pPr>
      <w:r>
        <w:rPr>
          <w:rStyle w:val="FootnoteCharacters"/>
        </w:rPr>
        <w:footnoteRef/>
      </w:r>
      <w:r>
        <w:rPr>
          <w:rStyle w:val="FootnoteCharacters"/>
        </w:rPr>
        <w:tab/>
      </w:r>
      <w:r>
        <w:rPr/>
        <w:t>Art. 33 Abs. 2 BauG.</w:t>
      </w:r>
    </w:p>
  </w:footnote>
  <w:footnote w:id="7">
    <w:p>
      <w:pPr>
        <w:pStyle w:val="Footnote"/>
        <w:rPr/>
      </w:pPr>
      <w:r>
        <w:rPr>
          <w:rStyle w:val="FootnoteCharacters"/>
        </w:rPr>
        <w:footnoteRef/>
      </w:r>
      <w:r>
        <w:rPr>
          <w:rStyle w:val="FootnoteCharacters"/>
        </w:rPr>
        <w:tab/>
      </w:r>
      <w:r>
        <w:rPr/>
        <w:t>Art. 9 Abs. 2 BewD.</w:t>
      </w:r>
    </w:p>
  </w:footnote>
  <w:footnote w:id="8">
    <w:p>
      <w:pPr>
        <w:pStyle w:val="Footnote"/>
        <w:rPr/>
      </w:pPr>
      <w:r>
        <w:rPr>
          <w:rStyle w:val="FootnoteCharacters"/>
        </w:rPr>
        <w:footnoteRef/>
      </w:r>
      <w:r>
        <w:rPr>
          <w:rStyle w:val="FootnoteCharacters"/>
        </w:rPr>
        <w:tab/>
      </w:r>
      <w:r>
        <w:rPr/>
        <w:t xml:space="preserve">Art. 8 Abs. 2 </w:t>
      </w:r>
      <w:r>
        <w:rPr>
          <w:szCs w:val="16"/>
        </w:rPr>
        <w:t>Dekret über das Baubewilligungsverfahren vom 22. März 1994 (BewD; BSG 725.1).</w:t>
      </w:r>
    </w:p>
  </w:footnote>
  <w:footnote w:id="9">
    <w:p>
      <w:pPr>
        <w:pStyle w:val="Footnote"/>
        <w:rPr/>
      </w:pPr>
      <w:r>
        <w:rPr>
          <w:rStyle w:val="FootnoteCharacters"/>
        </w:rPr>
        <w:footnoteRef/>
      </w:r>
      <w:r>
        <w:rPr>
          <w:rStyle w:val="FootnoteCharacters"/>
        </w:rPr>
        <w:tab/>
      </w:r>
      <w:r>
        <w:rPr/>
        <w:t xml:space="preserve">Art. 8 Abs. 2 </w:t>
      </w:r>
      <w:r>
        <w:rPr>
          <w:szCs w:val="16"/>
        </w:rPr>
        <w:t>Dekret über das Baubewilligungsverfahren vom 22. März 1994 (BewD; BSG 725.1).</w:t>
      </w:r>
    </w:p>
  </w:footnote>
  <w:footnote w:id="10">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1">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name w:val="Endnote Anchor"/>
    <w:rPr>
      <w:vertAlign w:val="superscript"/>
    </w:rPr>
  </w:style>
  <w:style w:type="character" w:styleId="EndnoteCharacters">
    <w:name w:val="Endnote Characters"/>
    <w:qFormat/>
    <w:rPr/>
  </w:style>
  <w:style w:type="character" w:styleId="ListLabel36">
    <w:name w:val="ListLabel 36"/>
    <w:qFormat/>
    <w:rPr>
      <w:rFonts w:cs="Aria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Aria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Aria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Aria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bgz_entscheid zuständigkeit.dotx</Template>
  <TotalTime>102</TotalTime>
  <Application>LibreOffice/6.0.7.3$Linux_X86_64 LibreOffice_project/00m0$Build-3</Application>
  <Pages>3</Pages>
  <Words>587</Words>
  <Characters>4271</Characters>
  <CharactersWithSpaces>4778</CharactersWithSpaces>
  <Paragraphs>59</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2019-11-25T15:05:12Z</dcterms:created>
  <dc:creator/>
  <dc:description/>
  <dc:language>en-US</dc:language>
  <cp:lastModifiedBy/>
  <cp:lastPrinted>2018-06-20T05:50:00Z</cp:lastPrinted>
  <dcterms:modified xsi:type="dcterms:W3CDTF">2019-12-12T14:00:21Z</dcterms:modified>
  <cp:revision>65</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