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25395" cy="1805305"/>
                <wp:effectExtent l="0" t="0" r="0" b="0"/>
                <wp:wrapSquare wrapText="bothSides"/>
                <wp:docPr id="1" name="Frame1"/>
                <a:graphic xmlns:a="http://schemas.openxmlformats.org/drawingml/2006/main">
                  <a:graphicData uri="http://schemas.microsoft.com/office/word/2010/wordprocessingShape">
                    <wps:wsp>
                      <wps:cNvSpPr/>
                      <wps:spPr>
                        <a:xfrm>
                          <a:off x="0" y="0"/>
                          <a:ext cx="2524680" cy="180468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75pt;height:142.0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3674745</wp:posOffset>
                </wp:positionH>
                <wp:positionV relativeFrom="page">
                  <wp:posOffset>2190115</wp:posOffset>
                </wp:positionV>
                <wp:extent cx="2524760" cy="1804670"/>
                <wp:effectExtent l="0" t="0" r="0" b="0"/>
                <wp:wrapNone/>
                <wp:docPr id="2" name="Image1"/>
                <a:graphic xmlns:a="http://schemas.openxmlformats.org/drawingml/2006/main">
                  <a:graphicData uri="http://schemas.microsoft.com/office/word/2010/wordprocessingShape">
                    <wps:wsp>
                      <wps:cNvSpPr/>
                      <wps:spPr>
                        <a:xfrm>
                          <a:off x="0" y="0"/>
                          <a:ext cx="2523960" cy="180396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Image1" stroked="f" style="position:absolute;margin-left:289.35pt;margin-top:172.45pt;width:198.7pt;height:142pt;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color w:val="000000"/>
                        </w:rPr>
                      </w:pPr>
                      <w:r>
                        <w:rPr>
                          <w:color w:val="000000"/>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Gesamtbauentscheid</w:t>
      </w:r>
    </w:p>
    <w:tbl>
      <w:tblPr>
        <w:tblW w:w="9607" w:type="dxa"/>
        <w:jc w:val="left"/>
        <w:tblInd w:w="0" w:type="dxa"/>
        <w:tblBorders/>
        <w:tblCellMar>
          <w:top w:w="0" w:type="dxa"/>
          <w:left w:w="70" w:type="dxa"/>
          <w:bottom w:w="0" w:type="dxa"/>
          <w:right w:w="70" w:type="dxa"/>
        </w:tblCellMar>
        <w:tblLook w:noVBand="0" w:val="0000" w:noHBand="0" w:lastColumn="0" w:firstColumn="0" w:lastRow="0" w:firstRow="0"/>
      </w:tblPr>
      <w:tblGrid>
        <w:gridCol w:w="2432"/>
        <w:gridCol w:w="7174"/>
      </w:tblGrid>
      <w:tr>
        <w:trPr>
          <w:cantSplit w:val="true"/>
        </w:trPr>
        <w:tc>
          <w:tcPr>
            <w:tcW w:w="2432" w:type="dxa"/>
            <w:tcBorders/>
            <w:shd w:fill="auto" w:val="clear"/>
          </w:tcPr>
          <w:p>
            <w:pPr>
              <w:pStyle w:val="Normal"/>
              <w:spacing w:before="0" w:after="220"/>
              <w:ind w:left="-75" w:hanging="0"/>
              <w:rPr/>
            </w:pPr>
            <w:r>
              <w:rPr/>
              <w:t>Gemeinde</w:t>
            </w:r>
          </w:p>
        </w:tc>
        <w:tc>
          <w:tcPr>
            <w:tcW w:w="7174" w:type="dxa"/>
            <w:tcBorders/>
            <w:shd w:fill="auto" w:val="clear"/>
          </w:tcPr>
          <w:p>
            <w:pPr>
              <w:pStyle w:val="Normal"/>
              <w:widowControl/>
              <w:suppressAutoHyphens w:val="false"/>
              <w:bidi w:val="0"/>
              <w:spacing w:lineRule="atLeast" w:line="280" w:before="0" w:after="220"/>
              <w:jc w:val="left"/>
              <w:rPr/>
            </w:pPr>
            <w:r>
              <w:rPr/>
              <w:t>{{MUNICIPALITY}}</w:t>
            </w:r>
          </w:p>
        </w:tc>
      </w:tr>
      <w:tr>
        <w:trPr>
          <w:cantSplit w:val="true"/>
        </w:trPr>
        <w:tc>
          <w:tcPr>
            <w:tcW w:w="2432" w:type="dxa"/>
            <w:tcBorders/>
            <w:shd w:fill="auto" w:val="clear"/>
          </w:tcPr>
          <w:p>
            <w:pPr>
              <w:pStyle w:val="Normal"/>
              <w:spacing w:before="0" w:after="220"/>
              <w:ind w:left="-75" w:hanging="0"/>
              <w:rPr/>
            </w:pPr>
            <w:r>
              <w:rPr/>
              <w:t>Bauherrschaft</w:t>
            </w:r>
          </w:p>
        </w:tc>
        <w:tc>
          <w:tcPr>
            <w:tcW w:w="7174" w:type="dxa"/>
            <w:tcBorders/>
            <w:shd w:fill="auto" w:val="clear"/>
          </w:tcPr>
          <w:p>
            <w:pPr>
              <w:pStyle w:val="Normal"/>
              <w:widowControl/>
              <w:suppressAutoHyphens w:val="false"/>
              <w:bidi w:val="0"/>
              <w:spacing w:lineRule="atLeast" w:line="280" w:before="0" w:after="220"/>
              <w:jc w:val="left"/>
              <w:rPr/>
            </w:pPr>
            <w:r>
              <w:rPr>
                <w:b/>
                <w:szCs w:val="24"/>
              </w:rPr>
              <w:t xml:space="preserve">{{GESUCHSTELLER_NAME_ADDRESS}} </w:t>
            </w:r>
            <w:r>
              <w:rPr>
                <w:szCs w:val="24"/>
              </w:rPr>
              <w:t xml:space="preserve">{{VERTRETER_NAME_ADDRESS and </w:t>
            </w:r>
            <w:bookmarkStart w:id="0" w:name="__DdeLink__1794_2735360390"/>
            <w:r>
              <w:rPr>
                <w:szCs w:val="24"/>
              </w:rPr>
              <w:t>"</w:t>
            </w:r>
            <w:bookmarkEnd w:id="0"/>
            <w:r>
              <w:rPr>
                <w:szCs w:val="24"/>
              </w:rPr>
              <w:t>, vertreten durch " + VERTRETER_NAME_ADDRESS}}</w:t>
            </w:r>
          </w:p>
        </w:tc>
      </w:tr>
      <w:tr>
        <w:trPr>
          <w:cantSplit w:val="true"/>
        </w:trPr>
        <w:tc>
          <w:tcPr>
            <w:tcW w:w="2432" w:type="dxa"/>
            <w:tcBorders/>
            <w:shd w:fill="auto" w:val="clear"/>
          </w:tcPr>
          <w:p>
            <w:pPr>
              <w:pStyle w:val="Normal"/>
              <w:spacing w:before="0" w:after="220"/>
              <w:ind w:left="-75" w:hanging="0"/>
              <w:rPr>
                <w:highlight w:val="green"/>
              </w:rPr>
            </w:pPr>
            <w:r>
              <w:rPr/>
              <w:t xml:space="preserve">Projektverfasser/in </w:t>
            </w:r>
          </w:p>
        </w:tc>
        <w:tc>
          <w:tcPr>
            <w:tcW w:w="7174" w:type="dxa"/>
            <w:tcBorders/>
            <w:shd w:fill="auto" w:val="clear"/>
          </w:tcPr>
          <w:p>
            <w:pPr>
              <w:pStyle w:val="Normal"/>
              <w:widowControl/>
              <w:suppressAutoHyphens w:val="false"/>
              <w:bidi w:val="0"/>
              <w:spacing w:lineRule="atLeast" w:line="280" w:before="0" w:after="220"/>
              <w:jc w:val="left"/>
              <w:rPr/>
            </w:pPr>
            <w:r>
              <w:rPr/>
              <w:t>{{PROJEKTVERFASSER_NAME_ADDRESS}}</w:t>
            </w:r>
          </w:p>
        </w:tc>
      </w:tr>
      <w:tr>
        <w:trPr>
          <w:cantSplit w:val="true"/>
        </w:trPr>
        <w:tc>
          <w:tcPr>
            <w:tcW w:w="2432" w:type="dxa"/>
            <w:tcBorders/>
            <w:shd w:fill="auto" w:val="clear"/>
          </w:tcPr>
          <w:p>
            <w:pPr>
              <w:pStyle w:val="Normal"/>
              <w:spacing w:before="0" w:after="220"/>
              <w:ind w:left="-75" w:hanging="0"/>
              <w:rPr/>
            </w:pPr>
            <w:r>
              <w:rPr/>
              <w:t>Bauvorhaben</w:t>
            </w:r>
          </w:p>
        </w:tc>
        <w:tc>
          <w:tcPr>
            <w:tcW w:w="7174" w:type="dxa"/>
            <w:tcBorders/>
            <w:shd w:fill="auto" w:val="clear"/>
          </w:tcPr>
          <w:p>
            <w:pPr>
              <w:pStyle w:val="Normal"/>
              <w:widowControl/>
              <w:suppressAutoHyphens w:val="false"/>
              <w:bidi w:val="0"/>
              <w:spacing w:lineRule="atLeast" w:line="280" w:before="0" w:after="220"/>
              <w:jc w:val="left"/>
              <w:rPr>
                <w:b/>
                <w:b/>
              </w:rPr>
            </w:pPr>
            <w:r>
              <w:rPr>
                <w:b/>
              </w:rPr>
              <w:t>{{BAUVORHABEN}}</w:t>
            </w:r>
          </w:p>
        </w:tc>
      </w:tr>
      <w:tr>
        <w:trPr>
          <w:cantSplit w:val="true"/>
        </w:trPr>
        <w:tc>
          <w:tcPr>
            <w:tcW w:w="2432" w:type="dxa"/>
            <w:tcBorders/>
            <w:shd w:fill="auto" w:val="clear"/>
          </w:tcPr>
          <w:p>
            <w:pPr>
              <w:pStyle w:val="Normal"/>
              <w:spacing w:before="0" w:after="220"/>
              <w:ind w:left="-75" w:hanging="0"/>
              <w:rPr/>
            </w:pPr>
            <w:r>
              <w:rPr/>
              <w:t>Standort</w:t>
            </w:r>
          </w:p>
        </w:tc>
        <w:tc>
          <w:tcPr>
            <w:tcW w:w="7174" w:type="dxa"/>
            <w:tcBorders/>
            <w:shd w:fill="auto" w:val="clear"/>
          </w:tcPr>
          <w:p>
            <w:pPr>
              <w:pStyle w:val="Normal"/>
              <w:widowControl/>
              <w:suppressAutoHyphens w:val="false"/>
              <w:bidi w:val="0"/>
              <w:spacing w:lineRule="atLeast" w:line="280" w:before="0" w:after="220"/>
              <w:jc w:val="left"/>
              <w:rPr/>
            </w:pPr>
            <w:r>
              <w:rPr/>
              <w:t>{{ADDRESS}}, {{PARZELLE}}</w:t>
            </w:r>
          </w:p>
        </w:tc>
      </w:tr>
      <w:tr>
        <w:trPr>
          <w:cantSplit w:val="true"/>
        </w:trPr>
        <w:tc>
          <w:tcPr>
            <w:tcW w:w="2432" w:type="dxa"/>
            <w:tcBorders/>
            <w:shd w:fill="auto" w:val="clear"/>
          </w:tcPr>
          <w:p>
            <w:pPr>
              <w:pStyle w:val="Normal"/>
              <w:spacing w:before="0" w:after="220"/>
              <w:ind w:left="-75" w:hanging="0"/>
              <w:rPr>
                <w:highlight w:val="green"/>
              </w:rPr>
            </w:pPr>
            <w:r>
              <w:rPr>
                <w:highlight w:val="green"/>
              </w:rPr>
              <w:t>Schutzzone / Schutzobjekt</w:t>
            </w:r>
          </w:p>
        </w:tc>
        <w:tc>
          <w:tcPr>
            <w:tcW w:w="7174" w:type="dxa"/>
            <w:tcBorders/>
            <w:shd w:fill="auto" w:val="clear"/>
          </w:tcPr>
          <w:p>
            <w:pPr>
              <w:pStyle w:val="Normal"/>
              <w:widowControl/>
              <w:suppressAutoHyphens w:val="false"/>
              <w:bidi w:val="0"/>
              <w:spacing w:lineRule="atLeast" w:line="280" w:before="0" w:after="220"/>
              <w:jc w:val="left"/>
              <w:rPr/>
            </w:pPr>
            <w:r>
              <w:rPr/>
            </w:r>
          </w:p>
        </w:tc>
      </w:tr>
      <w:tr>
        <w:trPr>
          <w:cantSplit w:val="true"/>
        </w:trPr>
        <w:tc>
          <w:tcPr>
            <w:tcW w:w="2432" w:type="dxa"/>
            <w:tcBorders/>
            <w:shd w:fill="auto" w:val="clear"/>
          </w:tcPr>
          <w:p>
            <w:pPr>
              <w:pStyle w:val="Normal"/>
              <w:spacing w:before="0" w:after="220"/>
              <w:ind w:left="-75" w:hanging="0"/>
              <w:rPr>
                <w:highlight w:val="green"/>
              </w:rPr>
            </w:pPr>
            <w:r>
              <w:rPr>
                <w:highlight w:val="green"/>
              </w:rPr>
              <w:t>Ausnahmen</w:t>
            </w:r>
          </w:p>
        </w:tc>
        <w:tc>
          <w:tcPr>
            <w:tcW w:w="7174" w:type="dxa"/>
            <w:tcBorders/>
            <w:shd w:fill="auto" w:val="clear"/>
          </w:tcPr>
          <w:p>
            <w:pPr>
              <w:pStyle w:val="Normal"/>
              <w:widowControl/>
              <w:suppressAutoHyphens w:val="false"/>
              <w:bidi w:val="0"/>
              <w:spacing w:lineRule="atLeast" w:line="280" w:before="0" w:after="220"/>
              <w:jc w:val="left"/>
              <w:rPr/>
            </w:pPr>
            <w:r>
              <w:rPr/>
            </w:r>
            <w:bookmarkStart w:id="1" w:name="Dropdown80"/>
            <w:bookmarkStart w:id="2" w:name="Dropdown80"/>
            <w:bookmarkEnd w:id="2"/>
          </w:p>
        </w:tc>
      </w:tr>
      <w:tr>
        <w:trPr>
          <w:cantSplit w:val="true"/>
        </w:trPr>
        <w:tc>
          <w:tcPr>
            <w:tcW w:w="2432" w:type="dxa"/>
            <w:tcBorders/>
            <w:shd w:fill="auto" w:val="clear"/>
          </w:tcPr>
          <w:p>
            <w:pPr>
              <w:pStyle w:val="Normal"/>
              <w:spacing w:before="0" w:after="220"/>
              <w:ind w:left="-75" w:hanging="0"/>
              <w:rPr/>
            </w:pPr>
            <w:r>
              <w:rPr/>
              <w:t>Öffentliche Auflage</w:t>
            </w:r>
          </w:p>
        </w:tc>
        <w:tc>
          <w:tcPr>
            <w:tcW w:w="7174" w:type="dxa"/>
            <w:tcBorders/>
            <w:shd w:fill="auto" w:val="clear"/>
          </w:tcPr>
          <w:p>
            <w:pPr>
              <w:pStyle w:val="Normal"/>
              <w:spacing w:before="0" w:after="220"/>
              <w:rPr/>
            </w:pPr>
            <w:r>
              <w:rPr/>
              <w:t xml:space="preserve">{{PUBLIKATION_START}} {{PUBLIKATION_ENDE and </w:t>
            </w:r>
            <w:r>
              <w:rPr>
                <w:szCs w:val="24"/>
              </w:rPr>
              <w:t>"bis und mit " +  PUBLIKATION_ENDE</w:t>
            </w:r>
            <w:r>
              <w:rPr/>
              <w:t>}}</w:t>
            </w:r>
          </w:p>
        </w:tc>
      </w:tr>
      <w:tr>
        <w:trPr>
          <w:cantSplit w:val="true"/>
        </w:trPr>
        <w:tc>
          <w:tcPr>
            <w:tcW w:w="2432" w:type="dxa"/>
            <w:tcBorders/>
            <w:shd w:fill="auto" w:val="clear"/>
          </w:tcPr>
          <w:p>
            <w:pPr>
              <w:pStyle w:val="Normal"/>
              <w:spacing w:before="0" w:after="220"/>
              <w:ind w:left="-75"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Lastenausgleichs-ansprüche</w:t>
            </w:r>
          </w:p>
        </w:tc>
        <w:tc>
          <w:tcPr>
            <w:tcW w:w="7174" w:type="dxa"/>
            <w:tcBorders/>
            <w:shd w:fill="auto" w:val="clear"/>
          </w:tcPr>
          <w:p>
            <w:pPr>
              <w:pStyle w:val="Normal"/>
              <w:widowControl/>
              <w:suppressAutoHyphens w:val="false"/>
              <w:bidi w:val="0"/>
              <w:spacing w:lineRule="atLeast" w:line="280" w:before="0" w:after="220"/>
              <w:jc w:val="left"/>
              <w:rPr/>
            </w:pPr>
            <w:r>
              <w:rPr/>
            </w:r>
          </w:p>
        </w:tc>
      </w:tr>
    </w:tbl>
    <w:p>
      <w:pPr>
        <w:pStyle w:val="Heading1"/>
        <w:numPr>
          <w:ilvl w:val="0"/>
          <w:numId w:val="3"/>
        </w:numPr>
        <w:ind w:left="709" w:hanging="709"/>
        <w:rPr/>
      </w:pPr>
      <w:r>
        <w:rPr/>
        <w:t>Sachverhalt</w:t>
      </w:r>
    </w:p>
    <w:p>
      <w:pPr>
        <w:pStyle w:val="Heading2"/>
        <w:numPr>
          <w:ilvl w:val="1"/>
          <w:numId w:val="3"/>
        </w:numPr>
        <w:ind w:left="709" w:hanging="709"/>
        <w:rPr/>
      </w:pPr>
      <w:r>
        <w:rPr/>
        <w:t xml:space="preserve">Das Baugesuch ist am {{BAUEINGABE_DATUM}} bei der Gemeinde {{MUNICIPALITY}} eingegangen. Diese hat es am </w:t>
      </w:r>
      <w:r>
        <w:rPr>
          <w:highlight w:val="green"/>
        </w:rPr>
        <w:t>Datum</w:t>
      </w:r>
      <w:r>
        <w:rPr/>
        <w:t xml:space="preserve"> an das {{LEITBEHOERDE_NAME}} weitergeleitet.</w:t>
      </w:r>
    </w:p>
    <w:p>
      <w:pPr>
        <w:pStyle w:val="Heading2"/>
        <w:numPr>
          <w:ilvl w:val="1"/>
          <w:numId w:val="3"/>
        </w:numPr>
        <w:ind w:left="709"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w:t>
      </w:r>
      <w:r>
        <w:rPr>
          <w:color w:val="FF0000"/>
          <w:highlight w:val="green"/>
        </w:rPr>
        <w:t>Datum</w:t>
      </w:r>
      <w:r>
        <w:rPr>
          <w:color w:val="FF0000"/>
        </w:rPr>
        <w:t xml:space="preserve"> bei der Leitbehörde ein.</w:t>
      </w:r>
    </w:p>
    <w:p>
      <w:pPr>
        <w:pStyle w:val="Heading2"/>
        <w:numPr>
          <w:ilvl w:val="1"/>
          <w:numId w:val="3"/>
        </w:numPr>
        <w:ind w:left="709" w:hanging="709"/>
        <w:rPr/>
      </w:pPr>
      <w:r>
        <w:rPr/>
        <w:t xml:space="preserve">Nach Eingang des </w:t>
      </w:r>
      <w:r>
        <w:rPr>
          <w:color w:val="FF0000"/>
        </w:rPr>
        <w:t xml:space="preserve">vollständigen </w:t>
      </w:r>
      <w:r>
        <w:rPr/>
        <w:t xml:space="preserve">Baugesuches beim Regierungsstatthalteramt erfolgte die Publikation im Anzeiger vom </w:t>
      </w:r>
      <w:r>
        <w:rPr>
          <w:highlight w:val="green"/>
        </w:rPr>
        <w:t>Datum</w:t>
      </w:r>
      <w:r>
        <w:rPr/>
        <w:t xml:space="preserve"> und im Amtsblatt des Kantons Bern vom </w:t>
      </w:r>
      <w:r>
        <w:rPr>
          <w:highlight w:val="green"/>
        </w:rPr>
        <w:t>Datum</w:t>
      </w:r>
      <w:r>
        <w:rPr/>
        <w:t>.</w:t>
      </w:r>
    </w:p>
    <w:p>
      <w:pPr>
        <w:pStyle w:val="Heading2"/>
        <w:numPr>
          <w:ilvl w:val="1"/>
          <w:numId w:val="3"/>
        </w:numPr>
        <w:ind w:left="709"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3"/>
        </w:numPr>
        <w:ind w:left="709" w:hanging="709"/>
        <w:rPr/>
      </w:pPr>
      <w:r>
        <w:rPr/>
        <w:t>Innert der Auflagefrist gingen die eingangs aufgeführten Einsprachen ein.</w:t>
      </w:r>
    </w:p>
    <w:p>
      <w:pPr>
        <w:pStyle w:val="Heading2"/>
        <w:numPr>
          <w:ilvl w:val="1"/>
          <w:numId w:val="3"/>
        </w:numPr>
        <w:ind w:left="709" w:hanging="709"/>
        <w:rPr/>
      </w:pPr>
      <w:r>
        <w:rPr/>
        <w:t>Innert der Auflagefrist gingen die eingangs aufgeführten Rechtsverwahrungen ein.</w:t>
      </w:r>
    </w:p>
    <w:p>
      <w:pPr>
        <w:pStyle w:val="Heading2"/>
        <w:numPr>
          <w:ilvl w:val="1"/>
          <w:numId w:val="3"/>
        </w:numPr>
        <w:ind w:left="709" w:hanging="709"/>
        <w:rPr/>
      </w:pPr>
      <w:r>
        <w:rPr/>
        <w:t>Innert der Auflagefrist wurden die eingangs aufgeführten Lastenausgleichsbegehren angemeldet.</w:t>
      </w:r>
    </w:p>
    <w:p>
      <w:pPr>
        <w:pStyle w:val="Heading2"/>
        <w:numPr>
          <w:ilvl w:val="1"/>
          <w:numId w:val="3"/>
        </w:numPr>
        <w:ind w:left="709"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3"/>
        </w:numPr>
        <w:ind w:left="709"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Pr>
          <w:color w:val="FF0000"/>
          <w:highlight w:val="green"/>
        </w:rPr>
        <w:t>Datum</w:t>
      </w:r>
      <w:r>
        <w:rPr>
          <w:color w:val="FF0000"/>
        </w:rPr>
        <w:t xml:space="preserve"> zurückgezogen.</w:t>
      </w:r>
    </w:p>
    <w:p>
      <w:pPr>
        <w:pStyle w:val="Heading2"/>
        <w:numPr>
          <w:ilvl w:val="1"/>
          <w:numId w:val="3"/>
        </w:numPr>
        <w:ind w:left="709" w:hanging="709"/>
        <w:rPr/>
      </w:pPr>
      <w:r>
        <w:rPr>
          <w:highlight w:val="yellow"/>
        </w:rPr>
        <w:t>WEITERER VERFAHRENSABLAUF</w:t>
      </w:r>
      <w:r>
        <w:rPr/>
        <w:t xml:space="preserve"> (neg. Amts- / Fachberichte, Projektänderungen usw.)</w:t>
      </w:r>
    </w:p>
    <w:p>
      <w:pPr>
        <w:pStyle w:val="Heading2"/>
        <w:numPr>
          <w:ilvl w:val="1"/>
          <w:numId w:val="3"/>
        </w:numPr>
        <w:ind w:left="709" w:hanging="709"/>
        <w:rPr/>
      </w:pPr>
      <w:r>
        <w:rPr/>
        <w:t>Die eingeforderten Amts- und Fachberichte liegen in zustimmendem Sinne vor.</w:t>
      </w:r>
    </w:p>
    <w:p>
      <w:pPr>
        <w:pStyle w:val="Heading2"/>
        <w:numPr>
          <w:ilvl w:val="1"/>
          <w:numId w:val="3"/>
        </w:numPr>
        <w:ind w:left="709" w:hanging="709"/>
        <w:rPr>
          <w:szCs w:val="22"/>
        </w:rPr>
      </w:pPr>
      <w:r>
        <w:rPr>
          <w:szCs w:val="22"/>
        </w:rPr>
        <w:t>Auf den Inhalt der Einsprachen, Amtsberichte und Schlussbemerkungen wird, soweit entscheidrelevant, nachstehend eingegangen.</w:t>
      </w:r>
    </w:p>
    <w:p>
      <w:pPr>
        <w:pStyle w:val="Heading1"/>
        <w:numPr>
          <w:ilvl w:val="0"/>
          <w:numId w:val="3"/>
        </w:numPr>
        <w:ind w:left="709" w:hanging="709"/>
        <w:rPr/>
      </w:pPr>
      <w:r>
        <w:rPr/>
        <w:t>Erwägungen</w:t>
      </w:r>
    </w:p>
    <w:p>
      <w:pPr>
        <w:pStyle w:val="Heading2"/>
        <w:numPr>
          <w:ilvl w:val="1"/>
          <w:numId w:val="3"/>
        </w:numPr>
        <w:ind w:left="709"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3"/>
        </w:numPr>
        <w:ind w:left="709"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3"/>
        </w:numPr>
        <w:ind w:left="709"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3"/>
        </w:numPr>
        <w:ind w:left="709" w:hanging="709"/>
        <w:rPr/>
      </w:pPr>
      <w:r>
        <w:rPr/>
        <w:t>Die Gesuchsunterlagen entsprechen den Formerfordernissen des BewD. Auf das Gesuch ist ohne weiteres einzutreten.</w:t>
      </w:r>
    </w:p>
    <w:p>
      <w:pPr>
        <w:pStyle w:val="Heading2"/>
        <w:numPr>
          <w:ilvl w:val="1"/>
          <w:numId w:val="3"/>
        </w:numPr>
        <w:ind w:left="709"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3"/>
        </w:numPr>
        <w:ind w:left="709"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3"/>
        </w:numPr>
        <w:ind w:left="709"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3"/>
        </w:numPr>
        <w:ind w:left="709"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3"/>
        </w:numPr>
        <w:ind w:left="709" w:hanging="709"/>
        <w:rPr/>
      </w:pPr>
      <w:r>
        <w:rPr/>
        <w:t>Die Einsprechenden können als Nachbarn eigene schützenswerte Interessengeltend machen, weshalb sie zur Einsprache legitimiert sind</w:t>
      </w:r>
    </w:p>
    <w:p>
      <w:pPr>
        <w:pStyle w:val="Heading2"/>
        <w:numPr>
          <w:ilvl w:val="1"/>
          <w:numId w:val="3"/>
        </w:numPr>
        <w:ind w:left="709"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3"/>
        </w:numPr>
        <w:ind w:left="709"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3"/>
        </w:numPr>
        <w:ind w:left="709"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3"/>
        </w:numPr>
        <w:ind w:left="709"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3"/>
        </w:numPr>
        <w:ind w:left="709"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hanging="0"/>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3"/>
        </w:numPr>
        <w:ind w:left="709"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3"/>
        </w:numPr>
        <w:ind w:left="709"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3"/>
        </w:numPr>
        <w:ind w:left="709"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rPr>
        <w:footnoteReference w:id="15"/>
      </w:r>
      <w:r>
        <w:rPr/>
        <w:t xml:space="preserve"> gilt ein Gewässer, der Gewässerunterhalt und der Wasserbau insbesondere als beeinträchtigt, wenn ein Gewässer eingedolt oder überdeckt wird</w:t>
      </w:r>
      <w:r>
        <w:rPr>
          <w:rStyle w:val="FootnoteAnchor"/>
          <w:rStyle w:val="FootnoteAnchor"/>
        </w:rPr>
        <w:footnoteReference w:id="16"/>
      </w:r>
      <w:r>
        <w:rPr/>
        <w:t xml:space="preserve"> oder wenn infolge des Vorhabens künftig zusätzliche Aufwendungen bei Wasserbau oder Gewässerunterhalt zu erwarten sind.</w:t>
      </w:r>
      <w:r>
        <w:rPr>
          <w:rStyle w:val="FootnoteAnchor"/>
          <w:rStyle w:val="FootnoteAnchor"/>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3"/>
        </w:numPr>
        <w:ind w:left="709"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3"/>
        </w:numPr>
        <w:ind w:left="709"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3"/>
        </w:numPr>
        <w:ind w:left="709"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3"/>
        </w:numPr>
        <w:ind w:left="709"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3"/>
        </w:numPr>
        <w:ind w:left="709"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3"/>
        </w:numPr>
        <w:ind w:left="709"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{{MUNICIPALITY}}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3"/>
        </w:numPr>
        <w:ind w:left="709"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3"/>
        </w:numPr>
        <w:ind w:left="709"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darkCya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3"/>
        </w:numPr>
        <w:ind w:left="709"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 xml:space="preserve">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{{MUNICIPALITY}}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3"/>
        </w:numPr>
        <w:ind w:left="709"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 xml:space="preserve">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pPr>
        <w:pStyle w:val="Heading2"/>
        <w:numPr>
          <w:ilvl w:val="1"/>
          <w:numId w:val="3"/>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3"/>
        </w:numPr>
        <w:ind w:left="709"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3"/>
        </w:numPr>
        <w:ind w:left="709"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3"/>
        </w:numPr>
        <w:ind w:left="709"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3"/>
        </w:numPr>
        <w:ind w:left="709"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3"/>
        </w:numPr>
        <w:ind w:left="709"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3"/>
        </w:numPr>
        <w:ind w:left="709" w:hanging="709"/>
        <w:rPr/>
      </w:pPr>
      <w:r>
        <w:rPr/>
        <w:t>Gemäss Art. 52 BewD hat die Bauherrschaft die Kosten aller in diesem Bauentscheid zusammengefassten Verfahren zu übernehmen.</w:t>
      </w:r>
    </w:p>
    <w:p>
      <w:pPr>
        <w:pStyle w:val="Heading2"/>
        <w:numPr>
          <w:ilvl w:val="1"/>
          <w:numId w:val="3"/>
        </w:numPr>
        <w:ind w:left="709" w:hanging="709"/>
        <w:rPr/>
      </w:pPr>
      <w:r>
        <w:rPr/>
        <w:t>Hinweise</w:t>
      </w:r>
    </w:p>
    <w:p>
      <w:pPr>
        <w:pStyle w:val="Heading3"/>
        <w:numPr>
          <w:ilvl w:val="2"/>
          <w:numId w:val="3"/>
        </w:numPr>
        <w:ind w:left="708"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3"/>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3"/>
        </w:numPr>
        <w:ind w:left="709" w:hanging="709"/>
        <w:rPr/>
      </w:pPr>
      <w:r>
        <w:rPr/>
        <w:t>Schutzmassnahmen zur Sicherung des Retentionsbeckens:</w:t>
      </w:r>
    </w:p>
    <w:p>
      <w:pPr>
        <w:pStyle w:val="Heading2"/>
        <w:numPr>
          <w:ilvl w:val="0"/>
          <w:numId w:val="0"/>
        </w:numPr>
        <w:ind w:left="576" w:hanging="0"/>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hanging="0"/>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hanging="0"/>
        <w:rPr/>
      </w:pPr>
      <w:r>
        <w:rPr/>
        <w:t>Die Erdarbeiten sind gemäss den SIA Normen Garten- und Landschaftsbau SN 568 318 und dem BAFU-Leitfaden „Bodenschutz beim Bauen“ (Hrsg. BUWAL, 2001) durchzuführen.</w:t>
      </w:r>
    </w:p>
    <w:p>
      <w:pPr>
        <w:pStyle w:val="Heading2"/>
        <w:numPr>
          <w:ilvl w:val="1"/>
          <w:numId w:val="3"/>
        </w:numPr>
        <w:ind w:left="709"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3"/>
        </w:numPr>
        <w:ind w:left="709" w:hanging="709"/>
        <w:rPr/>
      </w:pPr>
      <w:r>
        <w:rPr/>
        <w:t>Entscheid</w:t>
      </w:r>
    </w:p>
    <w:p>
      <w:pPr>
        <w:pStyle w:val="Heading2"/>
        <w:numPr>
          <w:ilvl w:val="1"/>
          <w:numId w:val="3"/>
        </w:numPr>
        <w:ind w:left="709" w:hanging="709"/>
        <w:rPr/>
      </w:pPr>
      <w:r>
        <w:rPr/>
        <w:t>Gesamtbaubewilligung</w:t>
        <w:br/>
        <w:t>Der Bauherrschaft wird die Gesamtbaubewilligung für das eingangs umschriebene Vorhaben erteilt. Diese Gesamtbaubewilligung umfasst:</w:t>
      </w:r>
    </w:p>
    <w:p>
      <w:pPr>
        <w:pStyle w:val="Heading3"/>
        <w:numPr>
          <w:ilvl w:val="2"/>
          <w:numId w:val="3"/>
        </w:numPr>
        <w:rPr/>
      </w:pPr>
      <w:r>
        <w:rPr/>
        <w:t>Die Baubewilligung gemäss dem Baugesuch vom {{BAUEINGABE_DATUM}}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3"/>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3"/>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3"/>
        </w:numPr>
        <w:rPr/>
      </w:pPr>
      <w:r>
        <w:rPr/>
        <w:t>Die nach Art. 81 Abs. 1 SG erteilte Ausnahmebewilligung für das Unterschreiten des Strassenabstands.</w:t>
      </w:r>
    </w:p>
    <w:p>
      <w:pPr>
        <w:pStyle w:val="Heading3"/>
        <w:numPr>
          <w:ilvl w:val="2"/>
          <w:numId w:val="3"/>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3"/>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3"/>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3"/>
        </w:numPr>
        <w:rPr/>
      </w:pPr>
      <w:r>
        <w:rPr/>
        <w:t>Die Bewilligung für das Fällen kommunal geschützter Bäume nach Art. 41 Abs. 3 NSchG.</w:t>
      </w:r>
    </w:p>
    <w:p>
      <w:pPr>
        <w:pStyle w:val="Heading3"/>
        <w:numPr>
          <w:ilvl w:val="2"/>
          <w:numId w:val="3"/>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3"/>
        </w:numPr>
        <w:rPr/>
      </w:pPr>
      <w:r>
        <w:rPr/>
        <w:t>Die waldrechtliche Bewilligung (Bsp. Waldabstand)</w:t>
      </w:r>
    </w:p>
    <w:p>
      <w:pPr>
        <w:pStyle w:val="Heading3"/>
        <w:numPr>
          <w:ilvl w:val="2"/>
          <w:numId w:val="3"/>
        </w:numPr>
        <w:rPr/>
      </w:pPr>
      <w:r>
        <w:rPr/>
        <w:t>Die Gewässerschutzbewilligung</w:t>
      </w:r>
    </w:p>
    <w:p>
      <w:pPr>
        <w:pStyle w:val="Heading3"/>
        <w:numPr>
          <w:ilvl w:val="2"/>
          <w:numId w:val="3"/>
        </w:numPr>
        <w:rPr/>
      </w:pPr>
      <w:r>
        <w:rPr/>
        <w:t>Die Wasseranschlussbewilligung</w:t>
      </w:r>
    </w:p>
    <w:p>
      <w:pPr>
        <w:pStyle w:val="Heading3"/>
        <w:numPr>
          <w:ilvl w:val="2"/>
          <w:numId w:val="3"/>
        </w:numPr>
        <w:rPr/>
      </w:pPr>
      <w:r>
        <w:rPr/>
        <w:t>Die Elektrizitätsanschlussbewilligung</w:t>
      </w:r>
    </w:p>
    <w:p>
      <w:pPr>
        <w:pStyle w:val="Heading3"/>
        <w:numPr>
          <w:ilvl w:val="2"/>
          <w:numId w:val="3"/>
        </w:numPr>
        <w:rPr/>
      </w:pPr>
      <w:r>
        <w:rPr/>
        <w:t>Die Strassenanschlussbewilligung</w:t>
      </w:r>
    </w:p>
    <w:p>
      <w:pPr>
        <w:pStyle w:val="Heading3"/>
        <w:numPr>
          <w:ilvl w:val="2"/>
          <w:numId w:val="3"/>
        </w:numPr>
        <w:rPr/>
      </w:pPr>
      <w:r>
        <w:rPr/>
        <w:t>Die Wasserbaupolizeibewilligung</w:t>
      </w:r>
    </w:p>
    <w:p>
      <w:pPr>
        <w:pStyle w:val="Heading3"/>
        <w:numPr>
          <w:ilvl w:val="2"/>
          <w:numId w:val="3"/>
        </w:numPr>
        <w:rPr/>
      </w:pPr>
      <w:r>
        <w:rPr/>
        <w:t>Die fischereirechtliche Bewilligung</w:t>
      </w:r>
    </w:p>
    <w:p>
      <w:pPr>
        <w:pStyle w:val="Heading3"/>
        <w:numPr>
          <w:ilvl w:val="2"/>
          <w:numId w:val="3"/>
        </w:numPr>
        <w:rPr/>
      </w:pPr>
      <w:r>
        <w:rPr/>
        <w:t>Die naturschutzrechtliche Ausnahmebewilligungbewilligung</w:t>
      </w:r>
    </w:p>
    <w:p>
      <w:pPr>
        <w:pStyle w:val="Heading3"/>
        <w:numPr>
          <w:ilvl w:val="2"/>
          <w:numId w:val="3"/>
        </w:numPr>
        <w:rPr/>
      </w:pPr>
      <w:r>
        <w:rPr>
          <w:rStyle w:val="Berschrift3Zchn"/>
        </w:rPr>
        <w:t>Die Sondernutzungskonzession</w:t>
        <w:br/>
      </w:r>
      <w:r>
        <w:rP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pPr>
        <w:pStyle w:val="Heading3"/>
        <w:numPr>
          <w:ilvl w:val="2"/>
          <w:numId w:val="3"/>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3"/>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GGG.</w:t>
      </w:r>
    </w:p>
    <w:p>
      <w:pPr>
        <w:pStyle w:val="Aufzhlung"/>
        <w:numPr>
          <w:ilvl w:val="0"/>
          <w:numId w:val="2"/>
        </w:numPr>
        <w:rPr/>
      </w:pPr>
      <w:r>
        <w:rPr/>
        <w:t>Öffnungszeiten: Es gelten die gesetzlichen Öffnungszeiten.</w:t>
      </w:r>
    </w:p>
    <w:p>
      <w:pPr>
        <w:pStyle w:val="Aufzhlung"/>
        <w:ind w:left="1069"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hanging="0"/>
        <w:rPr/>
      </w:pPr>
      <w:r>
        <w:rPr/>
        <w:t>Ohne Berichte (Abnahmekontrolle) der Gemeindepolizeibehörde und der Gebäudeversicherung Bern wird keine Betriebsbewilligung ausgestellt.</w:t>
      </w:r>
    </w:p>
    <w:p>
      <w:pPr>
        <w:pStyle w:val="Aufzhlung"/>
        <w:ind w:left="1069" w:hanging="0"/>
        <w:rPr/>
      </w:pPr>
      <w:r>
        <w:rPr/>
        <w:t>Die Gemeindepolizeibehörde wird angewiesen, das Regierungsstatthalteramt über die Abnahme des Betriebes zu orientieren.</w:t>
      </w:r>
    </w:p>
    <w:p>
      <w:pPr>
        <w:pStyle w:val="Heading3"/>
        <w:numPr>
          <w:ilvl w:val="0"/>
          <w:numId w:val="0"/>
        </w:numPr>
        <w:ind w:left="720" w:hanging="0"/>
        <w:rPr/>
      </w:pPr>
      <w:r>
        <w:rPr/>
        <w:t>oder</w:t>
      </w:r>
    </w:p>
    <w:p>
      <w:pPr>
        <w:pStyle w:val="Heading3"/>
        <w:numPr>
          <w:ilvl w:val="2"/>
          <w:numId w:val="3"/>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br/>
        <w:t>Auflage: Die verantwortliche Person hat spätestens 30 Tage vor Eröffnung des Betriebes die Gesuchsunterlagen für die gastgewerbliche Betriebsbewilligung bei der Gemeinde {{MUNICIPALITY}} einzureichen.</w:t>
      </w:r>
    </w:p>
    <w:p>
      <w:pPr>
        <w:pStyle w:val="Heading3"/>
        <w:numPr>
          <w:ilvl w:val="2"/>
          <w:numId w:val="3"/>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Heading3"/>
        <w:numPr>
          <w:ilvl w:val="0"/>
          <w:numId w:val="2"/>
        </w:numPr>
        <w:rPr/>
      </w:pPr>
      <w:r>
        <w:rPr/>
      </w:r>
    </w:p>
    <w:p>
      <w:pPr>
        <w:pStyle w:val="Heading3"/>
        <w:numPr>
          <w:ilvl w:val="2"/>
          <w:numId w:val="3"/>
        </w:numPr>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3"/>
        </w:numPr>
        <w:ind w:left="709"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 xml:space="preserve">{{ADDRESS}}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3"/>
        </w:numPr>
        <w:ind w:left="709"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3"/>
        </w:numPr>
        <w:tabs>
          <w:tab w:val="left" w:pos="709" w:leader="none"/>
        </w:tabs>
        <w:spacing w:before="240" w:after="240"/>
        <w:ind w:left="709"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3"/>
        </w:numPr>
        <w:ind w:left="709"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3"/>
        </w:numPr>
        <w:ind w:left="709"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70" w:type="dxa"/>
          <w:bottom w:w="0" w:type="dxa"/>
          <w:right w:w="71" w:type="dxa"/>
        </w:tblCellMar>
        <w:tblLook w:noVBand="0" w:val="0000" w:noHBand="0" w:lastColumn="0" w:firstColumn="0" w:lastRow="0" w:firstRow="0"/>
      </w:tblPr>
      <w:tblGrid>
        <w:gridCol w:w="6731"/>
        <w:gridCol w:w="707"/>
        <w:gridCol w:w="1421"/>
      </w:tblGrid>
      <w:tr>
        <w:trPr/>
        <w:tc>
          <w:tcPr>
            <w:tcW w:w="673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220"/>
              <w:rPr/>
            </w:pPr>
            <w:r>
              <w:rPr/>
              <w:t>CHF</w:t>
            </w:r>
          </w:p>
        </w:tc>
        <w:tc>
          <w:tcPr>
            <w:tcW w:w="1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220"/>
              <w:jc w:val="right"/>
              <w:rPr/>
            </w:pPr>
            <w:r>
              <w:rPr/>
              <w:t>0.00</w:t>
            </w:r>
          </w:p>
        </w:tc>
      </w:tr>
      <w:tr>
        <w:trPr/>
        <w:tc>
          <w:tcPr>
            <w:tcW w:w="8859"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{%tr for GEBUEHR in GEBUEHREN %}</w:t>
            </w:r>
          </w:p>
        </w:tc>
      </w:tr>
      <w:tr>
        <w:trPr/>
        <w:tc>
          <w:tcPr>
            <w:tcW w:w="6731" w:type="dxa"/>
            <w:tcBorders>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{{GEBUEHR.POSITION}}</w:t>
            </w:r>
          </w:p>
        </w:tc>
        <w:tc>
          <w:tcPr>
            <w:tcW w:w="707" w:type="dxa"/>
            <w:tcBorders>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pPr>
            <w:r>
              <w:rPr/>
              <w:t>CHF</w:t>
            </w:r>
          </w:p>
        </w:tc>
        <w:tc>
          <w:tcPr>
            <w:tcW w:w="1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t>{{GEBUEHR.BETRAG}}</w:t>
            </w:r>
          </w:p>
        </w:tc>
      </w:tr>
      <w:tr>
        <w:trPr/>
        <w:tc>
          <w:tcPr>
            <w:tcW w:w="8859" w:type="dxa"/>
            <w:gridSpan w:val="3"/>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{%tr endfor %}</w:t>
            </w:r>
          </w:p>
        </w:tc>
      </w:tr>
      <w:tr>
        <w:trPr/>
        <w:tc>
          <w:tcPr>
            <w:tcW w:w="6731" w:type="dxa"/>
            <w:tcBorders>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r>
          </w:p>
        </w:tc>
        <w:tc>
          <w:tcPr>
            <w:tcW w:w="707" w:type="dxa"/>
            <w:tcBorders>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pPr>
            <w:r>
              <w:rPr/>
            </w:r>
          </w:p>
        </w:tc>
        <w:tc>
          <w:tcPr>
            <w:tcW w:w="1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r>
          </w:p>
        </w:tc>
      </w:tr>
      <w:tr>
        <w:trPr/>
        <w:tc>
          <w:tcPr>
            <w:tcW w:w="6731" w:type="dxa"/>
            <w:tcBorders>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b/>
                <w:b/>
                <w:bCs/>
              </w:rPr>
            </w:pPr>
            <w:r>
              <w:rPr>
                <w:b/>
                <w:bCs/>
              </w:rPr>
              <w:t>Total</w:t>
            </w:r>
          </w:p>
        </w:tc>
        <w:tc>
          <w:tcPr>
            <w:tcW w:w="707" w:type="dxa"/>
            <w:tcBorders>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b/>
                <w:b/>
                <w:bCs/>
              </w:rPr>
            </w:pPr>
            <w:r>
              <w:rPr>
                <w:b/>
                <w:bCs/>
              </w:rPr>
              <w:t>CHF</w:t>
            </w:r>
          </w:p>
        </w:tc>
        <w:tc>
          <w:tcPr>
            <w:tcW w:w="14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b/>
                <w:bCs/>
              </w:rPr>
              <w:t>{{GEBUEHREN_TOTAL}}</w:t>
            </w: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3"/>
        </w:numPr>
        <w:ind w:left="709"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Aufzhlung"/>
        <w:numPr>
          <w:ilvl w:val="0"/>
          <w:numId w:val="0"/>
        </w:numPr>
        <w:ind w:left="1069" w:hanging="0"/>
        <w:rPr>
          <w:highlight w:val="green"/>
        </w:rPr>
      </w:pPr>
      <w:r>
        <w:rPr>
          <w:highlight w:val="green"/>
        </w:rPr>
      </w:r>
    </w:p>
    <w:p>
      <w:pPr>
        <w:pStyle w:val="Aufzhlung"/>
        <w:widowControl/>
        <w:numPr>
          <w:ilvl w:val="0"/>
          <w:numId w:val="0"/>
        </w:numPr>
        <w:suppressAutoHyphens w:val="false"/>
        <w:bidi w:val="0"/>
        <w:spacing w:lineRule="atLeast" w:line="280" w:before="0" w:after="220"/>
        <w:ind w:left="1429" w:right="0" w:hanging="0"/>
        <w:contextualSpacing/>
        <w:jc w:val="left"/>
        <w:rPr/>
      </w:pPr>
      <w:r>
        <w:rPr/>
        <w:t>bleiben vorbehalten und werden soweit geeignet als Rechtsverwahrung angemerkt.</w:t>
      </w:r>
    </w:p>
    <w:p>
      <w:pPr>
        <w:pStyle w:val="Heading2"/>
        <w:numPr>
          <w:ilvl w:val="1"/>
          <w:numId w:val="3"/>
        </w:numPr>
        <w:ind w:left="709"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Kosten</w:t>
      </w:r>
    </w:p>
    <w:p>
      <w:pPr>
        <w:pStyle w:val="Heading3"/>
        <w:numPr>
          <w:ilvl w:val="2"/>
          <w:numId w:val="3"/>
        </w:numPr>
        <w:rPr/>
      </w:pPr>
      <w:r>
        <w:rPr/>
        <w:t>Der Gesamtbauentscheid wird eingeschrieben eröffnet:</w:t>
      </w:r>
    </w:p>
    <w:p>
      <w:pPr>
        <w:pStyle w:val="Aufzhlung"/>
        <w:numPr>
          <w:ilvl w:val="0"/>
          <w:numId w:val="2"/>
        </w:numPr>
        <w:rPr/>
      </w:pPr>
      <w:r>
        <w:rPr/>
        <w:t>{{VERTRETER_NAME_ADDRESS}}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3"/>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Steller von Lastenausgleichsforderung</w:t>
      </w:r>
    </w:p>
    <w:p>
      <w:pPr>
        <w:pStyle w:val="Aufzhlung"/>
        <w:numPr>
          <w:ilvl w:val="0"/>
          <w:numId w:val="2"/>
        </w:numPr>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 for fachstelle in FACHSTELLEN_KANTONAL %}</w:t>
      </w:r>
    </w:p>
    <w:p>
      <w:pPr>
        <w:pStyle w:val="Aufzhlung"/>
        <w:numPr>
          <w:ilvl w:val="0"/>
          <w:numId w:val="2"/>
        </w:numPr>
        <w:rPr/>
      </w:pPr>
      <w:r>
        <w:rPr/>
        <w:t>{{ fachstelle.NAME }}{% endfor %}</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bookmarkStart w:id="3" w:name="_GoBack"/>
      <w:bookmarkStart w:id="4" w:name="_GoBack"/>
      <w:bookmarkEnd w:id="4"/>
      <w:r>
        <w:br w:type="page"/>
      </w:r>
    </w:p>
    <w:p>
      <w:pPr>
        <w:pStyle w:val="Normal"/>
        <w:tabs>
          <w:tab w:val="left" w:pos="540" w:leader="none"/>
          <w:tab w:val="left" w:pos="900" w:leader="none"/>
        </w:tabs>
        <w:ind w:left="54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23</w:t>
    </w:r>
    <w:r>
      <w:rPr/>
      <w:fldChar w:fldCharType="end"/>
    </w:r>
    <w:r>
      <w:rPr>
        <w:lang w:val="de-DE"/>
      </w:rPr>
      <w:t xml:space="preserve"> von </w:t>
    </w:r>
    <w:r>
      <w:rPr/>
      <w:fldChar w:fldCharType="begin"/>
    </w:r>
    <w:r>
      <w:rPr/>
      <w:instrText> NUMPAGES </w:instrText>
    </w:r>
    <w:r>
      <w:rPr/>
      <w:fldChar w:fldCharType="separate"/>
    </w:r>
    <w:r>
      <w:rPr/>
      <w:t>23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auto"/>
    </w:rPr>
  </w:style>
  <w:style w:type="character" w:styleId="ListLabel14" w:customStyle="1">
    <w:name w:val="ListLabel 14"/>
    <w:qFormat/>
    <w:rPr>
      <w:b w:val="false"/>
      <w:i w:val="false"/>
      <w:sz w:val="22"/>
      <w:szCs w:val="22"/>
    </w:rPr>
  </w:style>
  <w:style w:type="character" w:styleId="ListLabel15" w:customStyle="1">
    <w:name w:val="ListLabel 15"/>
    <w:qFormat/>
    <w:rPr>
      <w:color w:val="auto"/>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color w:val="aut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1" w:customStyle="1">
    <w:name w:val="ListLabel 21"/>
    <w:qFormat/>
    <w:rPr>
      <w:b/>
      <w:color w:val="auto"/>
    </w:rPr>
  </w:style>
  <w:style w:type="character" w:styleId="ListLabel22" w:customStyle="1">
    <w:name w:val="ListLabel 22"/>
    <w:qFormat/>
    <w:rPr>
      <w:rFonts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color w:val="auto"/>
    </w:rPr>
  </w:style>
  <w:style w:type="character" w:styleId="ListLabel32" w:customStyle="1">
    <w:name w:val="ListLabel 32"/>
    <w:qFormat/>
    <w:rPr>
      <w:b/>
      <w:color w:val="auto"/>
    </w:rPr>
  </w:style>
  <w:style w:type="character" w:styleId="ListLabel33" w:customStyle="1">
    <w:name w:val="ListLabel 33"/>
    <w:qFormat/>
    <w:rPr>
      <w:b/>
      <w:color w:val="auto"/>
    </w:rPr>
  </w:style>
  <w:style w:type="character" w:styleId="ListLabel34" w:customStyle="1">
    <w:name w:val="ListLabel 34"/>
    <w:qFormat/>
    <w:rPr>
      <w:rFonts w:cs="Aria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color w:val="auto"/>
    </w:rPr>
  </w:style>
  <w:style w:type="character" w:styleId="ListLabel44" w:customStyle="1">
    <w:name w:val="ListLabel 44"/>
    <w:qFormat/>
    <w:rPr>
      <w:b/>
      <w:color w:val="auto"/>
    </w:rPr>
  </w:style>
  <w:style w:type="character" w:styleId="ListLabel45" w:customStyle="1">
    <w:name w:val="ListLabel 45"/>
    <w:qFormat/>
    <w:rPr>
      <w:b/>
      <w:color w:val="auto"/>
    </w:rPr>
  </w:style>
  <w:style w:type="character" w:styleId="ListLabel46" w:customStyle="1">
    <w:name w:val="ListLabel 46"/>
    <w:qFormat/>
    <w:rPr>
      <w:rFonts w:cs="Aria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color w:val="auto"/>
    </w:rPr>
  </w:style>
  <w:style w:type="character" w:styleId="ListLabel56" w:customStyle="1">
    <w:name w:val="ListLabel 56"/>
    <w:qFormat/>
    <w:rPr>
      <w:b/>
      <w:color w:val="auto"/>
    </w:rPr>
  </w:style>
  <w:style w:type="character" w:styleId="ListLabel57" w:customStyle="1">
    <w:name w:val="ListLabel 57"/>
    <w:qFormat/>
    <w:rPr>
      <w:b/>
      <w:color w:val="auto"/>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color w:val="auto"/>
    </w:rPr>
  </w:style>
  <w:style w:type="character" w:styleId="ListLabel68" w:customStyle="1">
    <w:name w:val="ListLabel 68"/>
    <w:qFormat/>
    <w:rPr>
      <w:b/>
      <w:color w:val="auto"/>
    </w:rPr>
  </w:style>
  <w:style w:type="character" w:styleId="ListLabel69" w:customStyle="1">
    <w:name w:val="ListLabel 69"/>
    <w:qFormat/>
    <w:rPr>
      <w:b/>
      <w:color w:val="auto"/>
    </w:rPr>
  </w:style>
  <w:style w:type="character" w:styleId="ListLabel70" w:customStyle="1">
    <w:name w:val="ListLabel 70"/>
    <w:qFormat/>
    <w:rPr>
      <w:rFonts w:cs="Aria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color w:val="auto"/>
    </w:rPr>
  </w:style>
  <w:style w:type="character" w:styleId="ListLabel80" w:customStyle="1">
    <w:name w:val="ListLabel 80"/>
    <w:qFormat/>
    <w:rPr>
      <w:b/>
      <w:color w:val="auto"/>
    </w:rPr>
  </w:style>
  <w:style w:type="character" w:styleId="ListLabel81" w:customStyle="1">
    <w:name w:val="ListLabel 81"/>
    <w:qFormat/>
    <w:rPr>
      <w:b/>
      <w:color w:val="auto"/>
    </w:rPr>
  </w:style>
  <w:style w:type="character" w:styleId="ListLabel82" w:customStyle="1">
    <w:name w:val="ListLabel 82"/>
    <w:qFormat/>
    <w:rPr>
      <w:rFonts w:cs="Aria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color w:val="auto"/>
    </w:rPr>
  </w:style>
  <w:style w:type="character" w:styleId="ListLabel92" w:customStyle="1">
    <w:name w:val="ListLabel 92"/>
    <w:qFormat/>
    <w:rPr>
      <w:b/>
      <w:color w:val="auto"/>
    </w:rPr>
  </w:style>
  <w:style w:type="character" w:styleId="ListLabel93" w:customStyle="1">
    <w:name w:val="ListLabel 93"/>
    <w:qFormat/>
    <w:rPr>
      <w:b/>
      <w:color w:val="auto"/>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color w:val="auto"/>
    </w:rPr>
  </w:style>
  <w:style w:type="character" w:styleId="ListLabel104" w:customStyle="1">
    <w:name w:val="ListLabel 104"/>
    <w:qFormat/>
    <w:rPr>
      <w:b/>
      <w:color w:val="auto"/>
    </w:rPr>
  </w:style>
  <w:style w:type="character" w:styleId="ListLabel105" w:customStyle="1">
    <w:name w:val="ListLabel 105"/>
    <w:qFormat/>
    <w:rPr>
      <w:b/>
      <w:color w:val="auto"/>
    </w:rPr>
  </w:style>
  <w:style w:type="character" w:styleId="ListLabel106" w:customStyle="1">
    <w:name w:val="ListLabel 106"/>
    <w:qFormat/>
    <w:rPr>
      <w:rFonts w:cs="Aria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color w:val="auto"/>
    </w:rPr>
  </w:style>
  <w:style w:type="character" w:styleId="ListLabel116" w:customStyle="1">
    <w:name w:val="ListLabel 116"/>
    <w:qFormat/>
    <w:rPr>
      <w:b/>
      <w:color w:val="auto"/>
    </w:rPr>
  </w:style>
  <w:style w:type="character" w:styleId="ListLabel117" w:customStyle="1">
    <w:name w:val="ListLabel 117"/>
    <w:qFormat/>
    <w:rPr>
      <w:b/>
      <w:color w:val="auto"/>
    </w:rPr>
  </w:style>
  <w:style w:type="character" w:styleId="ListLabel118" w:customStyle="1">
    <w:name w:val="ListLabel 118"/>
    <w:qFormat/>
    <w:rPr>
      <w:rFonts w:cs="Aria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color w:val="auto"/>
    </w:rPr>
  </w:style>
  <w:style w:type="character" w:styleId="ListLabel128" w:customStyle="1">
    <w:name w:val="ListLabel 128"/>
    <w:qFormat/>
    <w:rPr>
      <w:b/>
      <w:color w:val="auto"/>
    </w:rPr>
  </w:style>
  <w:style w:type="character" w:styleId="ListLabel129" w:customStyle="1">
    <w:name w:val="ListLabel 129"/>
    <w:qFormat/>
    <w:rPr>
      <w:b/>
      <w:color w:val="auto"/>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color w:val="auto"/>
    </w:rPr>
  </w:style>
  <w:style w:type="character" w:styleId="ListLabel140" w:customStyle="1">
    <w:name w:val="ListLabel 140"/>
    <w:qFormat/>
    <w:rPr>
      <w:b/>
      <w:color w:val="auto"/>
    </w:rPr>
  </w:style>
  <w:style w:type="character" w:styleId="ListLabel141" w:customStyle="1">
    <w:name w:val="ListLabel 141"/>
    <w:qFormat/>
    <w:rPr>
      <w:b/>
      <w:color w:val="auto"/>
    </w:rPr>
  </w:style>
  <w:style w:type="character" w:styleId="ListLabel142" w:customStyle="1">
    <w:name w:val="ListLabel 142"/>
    <w:qFormat/>
    <w:rPr>
      <w:rFonts w:cs="Aria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color w:val="auto"/>
    </w:rPr>
  </w:style>
  <w:style w:type="character" w:styleId="ListLabel152" w:customStyle="1">
    <w:name w:val="ListLabel 152"/>
    <w:qFormat/>
    <w:rPr>
      <w:b/>
      <w:color w:val="auto"/>
    </w:rPr>
  </w:style>
  <w:style w:type="character" w:styleId="ListLabel153" w:customStyle="1">
    <w:name w:val="ListLabel 153"/>
    <w:qFormat/>
    <w:rPr>
      <w:b/>
      <w:color w:val="auto"/>
    </w:rPr>
  </w:style>
  <w:style w:type="character" w:styleId="ListLabel154" w:customStyle="1">
    <w:name w:val="ListLabel 154"/>
    <w:qFormat/>
    <w:rPr>
      <w:rFonts w:cs="Aria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color w:val="auto"/>
    </w:rPr>
  </w:style>
  <w:style w:type="character" w:styleId="ListLabel164" w:customStyle="1">
    <w:name w:val="ListLabel 164"/>
    <w:qFormat/>
    <w:rPr>
      <w:b/>
      <w:color w:val="auto"/>
    </w:rPr>
  </w:style>
  <w:style w:type="character" w:styleId="ListLabel165">
    <w:name w:val="ListLabel 165"/>
    <w:qFormat/>
    <w:rPr>
      <w:b/>
      <w:color w:val="auto"/>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color w:val="auto"/>
    </w:rPr>
  </w:style>
  <w:style w:type="character" w:styleId="ListLabel176">
    <w:name w:val="ListLabel 176"/>
    <w:qFormat/>
    <w:rPr>
      <w:b/>
      <w:color w:val="auto"/>
    </w:rPr>
  </w:style>
  <w:style w:type="character" w:styleId="ListLabel177">
    <w:name w:val="ListLabel 177"/>
    <w:qFormat/>
    <w:rPr>
      <w:b/>
      <w:color w:val="auto"/>
    </w:rPr>
  </w:style>
  <w:style w:type="character" w:styleId="ListLabel178">
    <w:name w:val="ListLabel 178"/>
    <w:qFormat/>
    <w:rPr>
      <w:rFonts w:cs="Aria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b/>
      <w:color w:val="auto"/>
    </w:rPr>
  </w:style>
  <w:style w:type="character" w:styleId="ListLabel188">
    <w:name w:val="ListLabel 188"/>
    <w:qFormat/>
    <w:rPr>
      <w:b/>
      <w:color w:val="auto"/>
    </w:rPr>
  </w:style>
  <w:style w:type="character" w:styleId="ListLabel189">
    <w:name w:val="ListLabel 189"/>
    <w:qFormat/>
    <w:rPr>
      <w:rFonts w:cs="Aria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b/>
      <w:color w:val="auto"/>
    </w:rPr>
  </w:style>
  <w:style w:type="character" w:styleId="ListLabel199">
    <w:name w:val="ListLabel 199"/>
    <w:qFormat/>
    <w:rPr>
      <w:b/>
      <w:color w:val="auto"/>
    </w:rPr>
  </w:style>
  <w:style w:type="character" w:styleId="ListLabel200">
    <w:name w:val="ListLabel 200"/>
    <w:qFormat/>
    <w:rPr>
      <w:rFonts w:cs="Aria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b/>
      <w:color w:val="auto"/>
    </w:rPr>
  </w:style>
  <w:style w:type="character" w:styleId="ListLabel210">
    <w:name w:val="ListLabel 210"/>
    <w:qFormat/>
    <w:rPr>
      <w:b/>
      <w:color w:val="auto"/>
    </w:rPr>
  </w:style>
  <w:style w:type="character" w:styleId="ListLabel211">
    <w:name w:val="ListLabel 211"/>
    <w:qFormat/>
    <w:rPr>
      <w:rFonts w:cs="Aria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b/>
      <w:color w:val="aut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Article" w:customStyle="1">
    <w:name w:val="article"/>
    <w:basedOn w:val="Normal"/>
    <w:qFormat/>
    <w:pPr>
      <w:spacing w:lineRule="auto" w:line="240" w:before="280" w:after="280"/>
    </w:pPr>
    <w:rPr>
      <w:rFonts w:eastAsia="Arial Unicode MS" w:cs="Arial"/>
      <w:sz w:val="24"/>
      <w:szCs w:val="24"/>
      <w:lang w:val="en-GB"/>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LibreOffice/6.0.7.3$Linux_X86_64 LibreOffice_project/00m0$Build-3</Application>
  <Pages>23</Pages>
  <Words>7854</Words>
  <Characters>54428</Characters>
  <CharactersWithSpaces>61879</CharactersWithSpaces>
  <Paragraphs>286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2019-11-26T16:06:00Z</dcterms:created>
  <dc:creator/>
  <dc:description/>
  <dc:language>en-US</dc:language>
  <cp:lastModifiedBy/>
  <cp:lastPrinted>2018-06-20T05:50:00Z</cp:lastPrinted>
  <dcterms:modified xsi:type="dcterms:W3CDTF">2020-01-09T15:54:20Z</dcterms:modified>
  <cp:revision>179</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