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ptos Display" w:hAnsi="Aptos Display"/>
          <w:b/>
          <w:color w:val="102337"/>
          <w:sz w:val="50"/>
        </w:rPr>
        <w:t>Phase 08 — Nutrient Encyclopedia</w:t>
      </w:r>
    </w:p>
    <w:p>
      <w:pPr>
        <w:spacing w:after="160"/>
        <w:pBdr>
          <w:bottom w:val="single" w:sz="18" w:space="1" w:color="2C8C7B"/>
        </w:pBdr>
      </w:pPr>
    </w:p>
    <w:p>
      <w:r>
        <w:rPr>
          <w:rFonts w:ascii="Aptos" w:hAnsi="Aptos"/>
          <w:b/>
          <w:sz w:val="19"/>
        </w:rPr>
        <w:t>Project:</w:t>
      </w:r>
      <w:r>
        <w:rPr>
          <w:rFonts w:ascii="Aptos" w:hAnsi="Aptos"/>
          <w:sz w:val="19"/>
        </w:rPr>
        <w:t xml:space="preserve"> Fitness OS  </w:t>
      </w:r>
    </w:p>
    <w:p>
      <w:r>
        <w:rPr>
          <w:rFonts w:ascii="Aptos" w:hAnsi="Aptos"/>
          <w:b/>
          <w:sz w:val="19"/>
        </w:rPr>
        <w:t>Document type:</w:t>
      </w:r>
      <w:r>
        <w:rPr>
          <w:rFonts w:ascii="Aptos" w:hAnsi="Aptos"/>
          <w:sz w:val="19"/>
        </w:rPr>
        <w:t xml:space="preserve"> Lovable implementation specification  </w:t>
      </w:r>
    </w:p>
    <w:p>
      <w:r>
        <w:rPr>
          <w:rFonts w:ascii="Aptos" w:hAnsi="Aptos"/>
          <w:b/>
          <w:sz w:val="19"/>
        </w:rPr>
        <w:t>Version:</w:t>
      </w:r>
      <w:r>
        <w:rPr>
          <w:rFonts w:ascii="Aptos" w:hAnsi="Aptos"/>
          <w:sz w:val="19"/>
        </w:rPr>
        <w:t xml:space="preserve"> 1.0  </w:t>
      </w:r>
    </w:p>
    <w:p>
      <w:r>
        <w:rPr>
          <w:rFonts w:ascii="Aptos" w:hAnsi="Aptos"/>
          <w:b/>
          <w:sz w:val="19"/>
        </w:rPr>
        <w:t>Date:</w:t>
      </w:r>
      <w:r>
        <w:rPr>
          <w:rFonts w:ascii="Aptos" w:hAnsi="Aptos"/>
          <w:sz w:val="19"/>
        </w:rPr>
        <w:t xml:space="preserve"> 5 August 2026  </w:t>
      </w:r>
    </w:p>
    <w:p>
      <w:r>
        <w:rPr>
          <w:rFonts w:ascii="Aptos" w:hAnsi="Aptos"/>
          <w:b/>
          <w:sz w:val="19"/>
        </w:rPr>
        <w:t>Status:</w:t>
      </w:r>
      <w:r>
        <w:rPr>
          <w:rFonts w:ascii="Aptos" w:hAnsi="Aptos"/>
          <w:sz w:val="19"/>
        </w:rPr>
        <w:t xml:space="preserve"> Ready for Plan-mode review  </w:t>
      </w:r>
    </w:p>
    <w:p>
      <w:r>
        <w:rPr>
          <w:rFonts w:ascii="Aptos" w:hAnsi="Aptos"/>
          <w:b/>
          <w:sz w:val="19"/>
        </w:rPr>
        <w:t>Depends on:</w:t>
      </w:r>
      <w:r>
        <w:rPr>
          <w:rFonts w:ascii="Aptos" w:hAnsi="Aptos"/>
          <w:sz w:val="19"/>
        </w:rPr>
        <w:t xml:space="preserve"> Phases 00, 01 and 07  </w:t>
      </w:r>
    </w:p>
    <w:p>
      <w:r>
        <w:rPr>
          <w:rFonts w:ascii="Aptos" w:hAnsi="Aptos"/>
          <w:b/>
          <w:sz w:val="19"/>
        </w:rPr>
        <w:t>Provides data contracts to:</w:t>
      </w:r>
      <w:r>
        <w:rPr>
          <w:rFonts w:ascii="Aptos" w:hAnsi="Aptos"/>
          <w:sz w:val="19"/>
        </w:rPr>
        <w:t xml:space="preserve"> Phases 09, 10, 11, 13 and 15</w:t>
      </w:r>
    </w:p>
    <w:p>
      <w:pPr>
        <w:spacing w:before="80" w:after="80"/>
        <w:pBdr>
          <w:bottom w:val="single" w:sz="6" w:space="1" w:color="C7D5DB"/>
        </w:pBdr>
      </w:pPr>
    </w:p>
    <w:p>
      <w:pPr>
        <w:pStyle w:val="Heading1"/>
      </w:pPr>
      <w:r>
        <w:t>0. How to use this phase</w:t>
      </w:r>
    </w:p>
    <w:p>
      <w:pPr>
        <w:spacing w:after="40"/>
        <w:ind w:left="403" w:hanging="403"/>
      </w:pPr>
      <w:r>
        <w:rPr>
          <w:rFonts w:ascii="Aptos" w:hAnsi="Aptos"/>
          <w:color w:val="2D3741"/>
          <w:sz w:val="18"/>
        </w:rPr>
        <w:t xml:space="preserve">1. </w:t>
      </w:r>
      <w:r>
        <w:rPr>
          <w:rFonts w:ascii="Aptos" w:hAnsi="Aptos"/>
          <w:sz w:val="18"/>
        </w:rPr>
        <w:t>Keep the Phase 00 Project Knowledge active.</w:t>
      </w:r>
    </w:p>
    <w:p>
      <w:pPr>
        <w:spacing w:after="40"/>
        <w:ind w:left="403" w:hanging="403"/>
      </w:pPr>
      <w:r>
        <w:rPr>
          <w:rFonts w:ascii="Aptos" w:hAnsi="Aptos"/>
          <w:color w:val="2D3741"/>
          <w:sz w:val="18"/>
        </w:rPr>
        <w:t xml:space="preserve">2. </w:t>
      </w:r>
      <w:r>
        <w:rPr>
          <w:rFonts w:ascii="Aptos" w:hAnsi="Aptos"/>
          <w:sz w:val="18"/>
        </w:rPr>
        <w:t>Confirm the Phase 01 shell, theme, navigation and accessibility foundation still works.</w:t>
      </w:r>
    </w:p>
    <w:p>
      <w:pPr>
        <w:spacing w:after="40"/>
        <w:ind w:left="403" w:hanging="403"/>
      </w:pPr>
      <w:r>
        <w:rPr>
          <w:rFonts w:ascii="Aptos" w:hAnsi="Aptos"/>
          <w:color w:val="2D3741"/>
          <w:sz w:val="18"/>
        </w:rPr>
        <w:t xml:space="preserve">3. </w:t>
      </w:r>
      <w:r>
        <w:rPr>
          <w:rFonts w:ascii="Aptos" w:hAnsi="Aptos"/>
          <w:sz w:val="18"/>
        </w:rPr>
        <w:t>Confirm Phase 07 food routes, stable nutrient IDs and data-status semantics are available.</w:t>
      </w:r>
    </w:p>
    <w:p>
      <w:pPr>
        <w:spacing w:after="40"/>
        <w:ind w:left="403" w:hanging="403"/>
      </w:pPr>
      <w:r>
        <w:rPr>
          <w:rFonts w:ascii="Aptos" w:hAnsi="Aptos"/>
          <w:color w:val="2D3741"/>
          <w:sz w:val="18"/>
        </w:rPr>
        <w:t xml:space="preserve">4. </w:t>
      </w:r>
      <w:r>
        <w:rPr>
          <w:rFonts w:ascii="Aptos" w:hAnsi="Aptos"/>
          <w:sz w:val="18"/>
        </w:rPr>
        <w:t>Attach this Markdown specification.</w:t>
      </w:r>
    </w:p>
    <w:p>
      <w:pPr>
        <w:spacing w:after="40"/>
        <w:ind w:left="403" w:hanging="403"/>
      </w:pPr>
      <w:r>
        <w:rPr>
          <w:rFonts w:ascii="Aptos" w:hAnsi="Aptos"/>
          <w:color w:val="2D3741"/>
          <w:sz w:val="18"/>
        </w:rPr>
        <w:t xml:space="preserve">5. </w:t>
      </w:r>
      <w:r>
        <w:rPr>
          <w:rFonts w:ascii="Aptos" w:hAnsi="Aptos"/>
          <w:sz w:val="18"/>
        </w:rPr>
        <w:t xml:space="preserve">Attach </w:t>
      </w:r>
      <w:r>
        <w:rPr>
          <w:rFonts w:ascii="Liberation Mono" w:hAnsi="Liberation Mono"/>
          <w:color w:val="2D3748"/>
          <w:sz w:val="16"/>
        </w:rPr>
        <w:t>Phase_08_Nutrient_Data_Schema.json</w:t>
      </w:r>
      <w:r>
        <w:rPr>
          <w:rFonts w:ascii="Aptos" w:hAnsi="Aptos"/>
          <w:sz w:val="18"/>
        </w:rPr>
        <w:t>.</w:t>
      </w:r>
    </w:p>
    <w:p>
      <w:pPr>
        <w:spacing w:after="40"/>
        <w:ind w:left="403" w:hanging="403"/>
      </w:pPr>
      <w:r>
        <w:rPr>
          <w:rFonts w:ascii="Aptos" w:hAnsi="Aptos"/>
          <w:color w:val="2D3741"/>
          <w:sz w:val="18"/>
        </w:rPr>
        <w:t xml:space="preserve">6. </w:t>
      </w:r>
      <w:r>
        <w:rPr>
          <w:rFonts w:ascii="Aptos" w:hAnsi="Aptos"/>
          <w:sz w:val="18"/>
        </w:rPr>
        <w:t xml:space="preserve">Attach </w:t>
      </w:r>
      <w:r>
        <w:rPr>
          <w:rFonts w:ascii="Liberation Mono" w:hAnsi="Liberation Mono"/>
          <w:color w:val="2D3748"/>
          <w:sz w:val="16"/>
        </w:rPr>
        <w:t>Phase_08_Seed_Nutrient_Taxonomy.json</w:t>
      </w:r>
      <w:r>
        <w:rPr>
          <w:rFonts w:ascii="Aptos" w:hAnsi="Aptos"/>
          <w:sz w:val="18"/>
        </w:rPr>
        <w:t>.</w:t>
      </w:r>
    </w:p>
    <w:p>
      <w:pPr>
        <w:spacing w:after="40"/>
        <w:ind w:left="403" w:hanging="403"/>
      </w:pPr>
      <w:r>
        <w:rPr>
          <w:rFonts w:ascii="Aptos" w:hAnsi="Aptos"/>
          <w:color w:val="2D3741"/>
          <w:sz w:val="18"/>
        </w:rPr>
        <w:t xml:space="preserve">7. </w:t>
      </w:r>
      <w:r>
        <w:rPr>
          <w:rFonts w:ascii="Aptos" w:hAnsi="Aptos"/>
          <w:sz w:val="18"/>
        </w:rPr>
        <w:t xml:space="preserve">Attach </w:t>
      </w:r>
      <w:r>
        <w:rPr>
          <w:rFonts w:ascii="Liberation Mono" w:hAnsi="Liberation Mono"/>
          <w:color w:val="2D3748"/>
          <w:sz w:val="16"/>
        </w:rPr>
        <w:t>Phase_08_Lovable_Prompt_Package.txt</w:t>
      </w:r>
      <w:r>
        <w:rPr>
          <w:rFonts w:ascii="Aptos" w:hAnsi="Aptos"/>
          <w:sz w:val="18"/>
        </w:rPr>
        <w:t>.</w:t>
      </w:r>
    </w:p>
    <w:p>
      <w:pPr>
        <w:spacing w:after="40"/>
        <w:ind w:left="403" w:hanging="403"/>
      </w:pPr>
      <w:r>
        <w:rPr>
          <w:rFonts w:ascii="Aptos" w:hAnsi="Aptos"/>
          <w:color w:val="2D3741"/>
          <w:sz w:val="18"/>
        </w:rPr>
        <w:t xml:space="preserve">8. </w:t>
      </w:r>
      <w:r>
        <w:rPr>
          <w:rFonts w:ascii="Aptos" w:hAnsi="Aptos"/>
          <w:sz w:val="18"/>
        </w:rPr>
        <w:t>Also attach the Phase 07 food schema and seed taxonomy because Phase 08 links to verified food-composition records.</w:t>
      </w:r>
    </w:p>
    <w:p>
      <w:pPr>
        <w:spacing w:after="40"/>
        <w:ind w:left="403" w:hanging="403"/>
      </w:pPr>
      <w:r>
        <w:rPr>
          <w:rFonts w:ascii="Aptos" w:hAnsi="Aptos"/>
          <w:color w:val="2D3741"/>
          <w:sz w:val="18"/>
        </w:rPr>
        <w:t xml:space="preserve">9. </w:t>
      </w:r>
      <w:r>
        <w:rPr>
          <w:rFonts w:ascii="Aptos" w:hAnsi="Aptos"/>
          <w:sz w:val="18"/>
        </w:rPr>
        <w:t>Run the Phase 08 Plan-mode prompt before code changes.</w:t>
      </w:r>
    </w:p>
    <w:p>
      <w:pPr>
        <w:spacing w:after="40"/>
        <w:ind w:left="403" w:hanging="403"/>
      </w:pPr>
      <w:r>
        <w:rPr>
          <w:rFonts w:ascii="Aptos" w:hAnsi="Aptos"/>
          <w:color w:val="2D3741"/>
          <w:sz w:val="18"/>
        </w:rPr>
        <w:t xml:space="preserve">10. </w:t>
      </w:r>
      <w:r>
        <w:rPr>
          <w:rFonts w:ascii="Aptos" w:hAnsi="Aptos"/>
          <w:sz w:val="18"/>
        </w:rPr>
        <w:t>Reject any plan that invents intake values, diagnoses a deficiency, adds authentication, stores health inputs remotely or merges incompatible reference frameworks.</w:t>
      </w:r>
    </w:p>
    <w:p>
      <w:pPr>
        <w:spacing w:after="40"/>
        <w:ind w:left="403" w:hanging="403"/>
      </w:pPr>
      <w:r>
        <w:rPr>
          <w:rFonts w:ascii="Aptos" w:hAnsi="Aptos"/>
          <w:color w:val="2D3741"/>
          <w:sz w:val="18"/>
        </w:rPr>
        <w:t xml:space="preserve">11. </w:t>
      </w:r>
      <w:r>
        <w:rPr>
          <w:rFonts w:ascii="Aptos" w:hAnsi="Aptos"/>
          <w:sz w:val="18"/>
        </w:rPr>
        <w:t>Approve only the Nutrient Encyclopedia scope.</w:t>
      </w:r>
    </w:p>
    <w:p>
      <w:pPr>
        <w:spacing w:after="40"/>
        <w:ind w:left="403" w:hanging="403"/>
      </w:pPr>
      <w:r>
        <w:rPr>
          <w:rFonts w:ascii="Aptos" w:hAnsi="Aptos"/>
          <w:color w:val="2D3741"/>
          <w:sz w:val="18"/>
        </w:rPr>
        <w:t xml:space="preserve">12. </w:t>
      </w:r>
      <w:r>
        <w:rPr>
          <w:rFonts w:ascii="Aptos" w:hAnsi="Aptos"/>
          <w:sz w:val="18"/>
        </w:rPr>
        <w:t>Run the Agent-mode prompt, verification prompt and correction prompt.</w:t>
      </w:r>
    </w:p>
    <w:p>
      <w:pPr>
        <w:spacing w:after="40"/>
        <w:ind w:left="403" w:hanging="403"/>
      </w:pPr>
      <w:r>
        <w:rPr>
          <w:rFonts w:ascii="Aptos" w:hAnsi="Aptos"/>
          <w:color w:val="2D3741"/>
          <w:sz w:val="18"/>
        </w:rPr>
        <w:t xml:space="preserve">13. </w:t>
      </w:r>
      <w:r>
        <w:rPr>
          <w:rFonts w:ascii="Aptos" w:hAnsi="Aptos"/>
          <w:sz w:val="18"/>
        </w:rPr>
        <w:t xml:space="preserve">Create the GitHub checkpoint </w:t>
      </w:r>
      <w:r>
        <w:rPr>
          <w:rFonts w:ascii="Liberation Mono" w:hAnsi="Liberation Mono"/>
          <w:color w:val="2D3748"/>
          <w:sz w:val="16"/>
        </w:rPr>
        <w:t>phase-08-nutrient-encyclopedia-complete</w:t>
      </w:r>
      <w:r>
        <w:rPr>
          <w:rFonts w:ascii="Aptos" w:hAnsi="Aptos"/>
          <w:sz w:val="18"/>
        </w:rPr>
        <w:t>.</w:t>
      </w:r>
    </w:p>
    <w:p>
      <w:pPr>
        <w:pStyle w:val="Heading1"/>
      </w:pPr>
      <w:r>
        <w:t>1. Phase objective</w:t>
      </w:r>
    </w:p>
    <w:p>
      <w:r>
        <w:rPr>
          <w:rFonts w:ascii="Aptos" w:hAnsi="Aptos"/>
          <w:sz w:val="19"/>
        </w:rPr>
        <w:t>Build a source-transparent Nutrient Encyclopedia that explains essential nutrients and major dietary components from basic definition through practical food context.</w:t>
      </w:r>
    </w:p>
    <w:p>
      <w:r>
        <w:rPr>
          <w:rFonts w:ascii="Aptos" w:hAnsi="Aptos"/>
          <w:sz w:val="19"/>
        </w:rPr>
        <w:t>The phase must deliver:</w:t>
      </w:r>
    </w:p>
    <w:p>
      <w:pPr>
        <w:pStyle w:val="ListBullet"/>
        <w:spacing w:after="40"/>
      </w:pPr>
      <w:r>
        <w:rPr>
          <w:rFonts w:ascii="Aptos" w:hAnsi="Aptos"/>
          <w:sz w:val="18"/>
        </w:rPr>
        <w:t>A nutrient catalogue.</w:t>
      </w:r>
    </w:p>
    <w:p>
      <w:pPr>
        <w:pStyle w:val="ListBullet"/>
        <w:spacing w:after="40"/>
      </w:pPr>
      <w:r>
        <w:rPr>
          <w:rFonts w:ascii="Aptos" w:hAnsi="Aptos"/>
          <w:sz w:val="18"/>
        </w:rPr>
        <w:t>Detailed nutrient pages.</w:t>
      </w:r>
    </w:p>
    <w:p>
      <w:pPr>
        <w:pStyle w:val="ListBullet"/>
        <w:spacing w:after="40"/>
      </w:pPr>
      <w:r>
        <w:rPr>
          <w:rFonts w:ascii="Aptos" w:hAnsi="Aptos"/>
          <w:sz w:val="18"/>
        </w:rPr>
        <w:t>Macronutrient, vitamin, mineral, hydration and food-component categories.</w:t>
      </w:r>
    </w:p>
    <w:p>
      <w:pPr>
        <w:pStyle w:val="ListBullet"/>
        <w:spacing w:after="40"/>
      </w:pPr>
      <w:r>
        <w:rPr>
          <w:rFonts w:ascii="Aptos" w:hAnsi="Aptos"/>
          <w:sz w:val="18"/>
        </w:rPr>
        <w:t>Reference-intake framework definitions.</w:t>
      </w:r>
    </w:p>
    <w:p>
      <w:pPr>
        <w:pStyle w:val="ListBullet"/>
        <w:spacing w:after="40"/>
      </w:pPr>
      <w:r>
        <w:rPr>
          <w:rFonts w:ascii="Aptos" w:hAnsi="Aptos"/>
          <w:sz w:val="18"/>
        </w:rPr>
        <w:t>A manual Reference Intake Explorer by age, sex and life stage when verified values are present.</w:t>
      </w:r>
    </w:p>
    <w:p>
      <w:pPr>
        <w:pStyle w:val="ListBullet"/>
        <w:spacing w:after="40"/>
      </w:pPr>
      <w:r>
        <w:rPr>
          <w:rFonts w:ascii="Aptos" w:hAnsi="Aptos"/>
          <w:sz w:val="18"/>
        </w:rPr>
        <w:t>Distinct RDA, AI, EAR, UL, AMDR, CDRR, DV, PRI, AR, RI and TUL semantics.</w:t>
      </w:r>
    </w:p>
    <w:p>
      <w:pPr>
        <w:pStyle w:val="ListBullet"/>
        <w:spacing w:after="40"/>
      </w:pPr>
      <w:r>
        <w:rPr>
          <w:rFonts w:ascii="Aptos" w:hAnsi="Aptos"/>
          <w:sz w:val="18"/>
        </w:rPr>
        <w:t>Functions, forms, units and equivalence rules.</w:t>
      </w:r>
    </w:p>
    <w:p>
      <w:pPr>
        <w:pStyle w:val="ListBullet"/>
        <w:spacing w:after="40"/>
      </w:pPr>
      <w:r>
        <w:rPr>
          <w:rFonts w:ascii="Aptos" w:hAnsi="Aptos"/>
          <w:sz w:val="18"/>
        </w:rPr>
        <w:t>Food-source links calculated from verified Phase 07 profiles.</w:t>
      </w:r>
    </w:p>
    <w:p>
      <w:pPr>
        <w:pStyle w:val="ListBullet"/>
        <w:spacing w:after="40"/>
      </w:pPr>
      <w:r>
        <w:rPr>
          <w:rFonts w:ascii="Aptos" w:hAnsi="Aptos"/>
          <w:sz w:val="18"/>
        </w:rPr>
        <w:t>Absorption and bioavailability factors.</w:t>
      </w:r>
    </w:p>
    <w:p>
      <w:pPr>
        <w:pStyle w:val="ListBullet"/>
        <w:spacing w:after="40"/>
      </w:pPr>
      <w:r>
        <w:rPr>
          <w:rFonts w:ascii="Aptos" w:hAnsi="Aptos"/>
          <w:sz w:val="18"/>
        </w:rPr>
        <w:t>General deficiency and excess-risk education.</w:t>
      </w:r>
    </w:p>
    <w:p>
      <w:pPr>
        <w:pStyle w:val="ListBullet"/>
        <w:spacing w:after="40"/>
      </w:pPr>
      <w:r>
        <w:rPr>
          <w:rFonts w:ascii="Aptos" w:hAnsi="Aptos"/>
          <w:sz w:val="18"/>
        </w:rPr>
        <w:t>Nutrient-nutrient and nutrient-medication interaction summaries.</w:t>
      </w:r>
    </w:p>
    <w:p>
      <w:pPr>
        <w:pStyle w:val="ListBullet"/>
        <w:spacing w:after="40"/>
      </w:pPr>
      <w:r>
        <w:rPr>
          <w:rFonts w:ascii="Aptos" w:hAnsi="Aptos"/>
          <w:sz w:val="18"/>
        </w:rPr>
        <w:t>Training relevance with evidence qualifiers.</w:t>
      </w:r>
    </w:p>
    <w:p>
      <w:pPr>
        <w:pStyle w:val="ListBullet"/>
        <w:spacing w:after="40"/>
      </w:pPr>
      <w:r>
        <w:rPr>
          <w:rFonts w:ascii="Aptos" w:hAnsi="Aptos"/>
          <w:sz w:val="18"/>
        </w:rPr>
        <w:t>Vegetarian, vegan and Indian-diet context.</w:t>
      </w:r>
    </w:p>
    <w:p>
      <w:pPr>
        <w:pStyle w:val="ListBullet"/>
        <w:spacing w:after="40"/>
      </w:pPr>
      <w:r>
        <w:rPr>
          <w:rFonts w:ascii="Aptos" w:hAnsi="Aptos"/>
          <w:sz w:val="18"/>
        </w:rPr>
        <w:t>Claim-level sources, limitations and review status.</w:t>
      </w:r>
    </w:p>
    <w:p>
      <w:pPr>
        <w:pStyle w:val="ListBullet"/>
        <w:spacing w:after="40"/>
      </w:pPr>
      <w:r>
        <w:rPr>
          <w:rFonts w:ascii="Aptos" w:hAnsi="Aptos"/>
          <w:sz w:val="18"/>
        </w:rPr>
        <w:t>No diagnosis, treatment plan, supplement prescription or automatic personalised recommendation.</w:t>
      </w:r>
    </w:p>
    <w:p>
      <w:r>
        <w:rPr>
          <w:rFonts w:ascii="Aptos" w:hAnsi="Aptos"/>
          <w:sz w:val="19"/>
        </w:rPr>
        <w:t>Phase 08 answers “what is this nutrient, what does it do, what reference values exist, and which verified foods contain it?” It does not decide what a specific person medically needs.</w:t>
      </w:r>
    </w:p>
    <w:p>
      <w:pPr>
        <w:pStyle w:val="Heading1"/>
      </w:pPr>
      <w:r>
        <w:t>2. Scope definition</w:t>
      </w:r>
    </w:p>
    <w:p>
      <w:r>
        <w:rPr>
          <w:rFonts w:ascii="Aptos" w:hAnsi="Aptos"/>
          <w:sz w:val="19"/>
        </w:rPr>
        <w:t xml:space="preserve">The MVP covers </w:t>
      </w:r>
      <w:r>
        <w:rPr>
          <w:rFonts w:ascii="Aptos" w:hAnsi="Aptos"/>
          <w:b/>
          <w:sz w:val="19"/>
        </w:rPr>
        <w:t>51 stable topics</w:t>
      </w:r>
      <w:r>
        <w:rPr>
          <w:rFonts w:ascii="Aptos" w:hAnsi="Aptos"/>
          <w:sz w:val="19"/>
        </w:rPr>
        <w:t>:</w:t>
      </w:r>
    </w:p>
    <w:p>
      <w:pPr>
        <w:pStyle w:val="ListBullet"/>
        <w:spacing w:after="40"/>
      </w:pPr>
      <w:r>
        <w:rPr>
          <w:rFonts w:ascii="Aptos" w:hAnsi="Aptos"/>
          <w:sz w:val="18"/>
        </w:rPr>
        <w:t>Energy and water.</w:t>
      </w:r>
    </w:p>
    <w:p>
      <w:pPr>
        <w:pStyle w:val="ListBullet"/>
        <w:spacing w:after="40"/>
      </w:pPr>
      <w:r>
        <w:rPr>
          <w:rFonts w:ascii="Aptos" w:hAnsi="Aptos"/>
          <w:sz w:val="18"/>
        </w:rPr>
        <w:t>Protein, carbohydrate, fibre, sugars and major fat classes.</w:t>
      </w:r>
    </w:p>
    <w:p>
      <w:pPr>
        <w:pStyle w:val="ListBullet"/>
        <w:spacing w:after="40"/>
      </w:pPr>
      <w:r>
        <w:rPr>
          <w:rFonts w:ascii="Aptos" w:hAnsi="Aptos"/>
          <w:sz w:val="18"/>
        </w:rPr>
        <w:t>Sodium, potassium, calcium, iron, magnesium, phosphorus, zinc, copper, manganese, selenium, iodine, chloride, chromium, fluoride and molybdenum.</w:t>
      </w:r>
    </w:p>
    <w:p>
      <w:pPr>
        <w:pStyle w:val="ListBullet"/>
        <w:spacing w:after="40"/>
      </w:pPr>
      <w:r>
        <w:rPr>
          <w:rFonts w:ascii="Aptos" w:hAnsi="Aptos"/>
          <w:sz w:val="18"/>
        </w:rPr>
        <w:t>Vitamins A, B1, B2, B3, B5, B6, B7, B9, B12, C, D, E and K.</w:t>
      </w:r>
    </w:p>
    <w:p>
      <w:pPr>
        <w:pStyle w:val="ListBullet"/>
        <w:spacing w:after="40"/>
      </w:pPr>
      <w:r>
        <w:rPr>
          <w:rFonts w:ascii="Aptos" w:hAnsi="Aptos"/>
          <w:sz w:val="18"/>
        </w:rPr>
        <w:t>Retinol, beta-carotene, food folate, folic acid and dietary folate equivalents where composition data uses those forms.</w:t>
      </w:r>
    </w:p>
    <w:p>
      <w:pPr>
        <w:pStyle w:val="ListBullet"/>
        <w:spacing w:after="40"/>
      </w:pPr>
      <w:r>
        <w:rPr>
          <w:rFonts w:ascii="Aptos" w:hAnsi="Aptos"/>
          <w:sz w:val="18"/>
        </w:rPr>
        <w:t>Choline.</w:t>
      </w:r>
    </w:p>
    <w:p>
      <w:pPr>
        <w:pStyle w:val="ListBullet"/>
        <w:spacing w:after="40"/>
      </w:pPr>
      <w:r>
        <w:rPr>
          <w:rFonts w:ascii="Aptos" w:hAnsi="Aptos"/>
          <w:sz w:val="18"/>
        </w:rPr>
        <w:t>Label-relevant dietary components such as added sugars, trans fat, cholesterol and alcohol.</w:t>
      </w:r>
    </w:p>
    <w:p>
      <w:r>
        <w:rPr>
          <w:rFonts w:ascii="Aptos" w:hAnsi="Aptos"/>
          <w:sz w:val="19"/>
        </w:rPr>
        <w:t>“Everything” does not mean every bioactive compound ever identified. Individual amino acids, detailed fatty acids, carotenoids beyond beta-carotene, phytosterols, polyphenols and other phytochemicals are future dataset extensions after the core contracts are stable.</w:t>
      </w:r>
    </w:p>
    <w:p>
      <w:pPr>
        <w:pStyle w:val="Heading1"/>
      </w:pPr>
      <w:r>
        <w:t>3. Non-negotiable product decisions</w:t>
      </w:r>
    </w:p>
    <w:p>
      <w:pPr>
        <w:pStyle w:val="ListBullet"/>
        <w:spacing w:after="40"/>
      </w:pPr>
      <w:r>
        <w:rPr>
          <w:rFonts w:ascii="Aptos" w:hAnsi="Aptos"/>
          <w:sz w:val="18"/>
        </w:rPr>
        <w:t>No signup, login, profile or cloud health account.</w:t>
      </w:r>
    </w:p>
    <w:p>
      <w:pPr>
        <w:pStyle w:val="ListBullet"/>
        <w:spacing w:after="40"/>
      </w:pPr>
      <w:r>
        <w:rPr>
          <w:rFonts w:ascii="Aptos" w:hAnsi="Aptos"/>
          <w:sz w:val="18"/>
        </w:rPr>
        <w:t>No Supabase, Firebase or remote personal-data store.</w:t>
      </w:r>
    </w:p>
    <w:p>
      <w:pPr>
        <w:pStyle w:val="ListBullet"/>
        <w:spacing w:after="40"/>
      </w:pPr>
      <w:r>
        <w:rPr>
          <w:rFonts w:ascii="Aptos" w:hAnsi="Aptos"/>
          <w:sz w:val="18"/>
        </w:rPr>
        <w:t>No AI diagnosis or nutrient-deficiency prediction.</w:t>
      </w:r>
    </w:p>
    <w:p>
      <w:pPr>
        <w:pStyle w:val="ListBullet"/>
        <w:spacing w:after="40"/>
      </w:pPr>
      <w:r>
        <w:rPr>
          <w:rFonts w:ascii="Aptos" w:hAnsi="Aptos"/>
          <w:sz w:val="18"/>
        </w:rPr>
        <w:t>No supplement-dose generator.</w:t>
      </w:r>
    </w:p>
    <w:p>
      <w:pPr>
        <w:pStyle w:val="ListBullet"/>
        <w:spacing w:after="40"/>
      </w:pPr>
      <w:r>
        <w:rPr>
          <w:rFonts w:ascii="Aptos" w:hAnsi="Aptos"/>
          <w:sz w:val="18"/>
        </w:rPr>
        <w:t>No medication-change advice.</w:t>
      </w:r>
    </w:p>
    <w:p>
      <w:pPr>
        <w:pStyle w:val="ListBullet"/>
        <w:spacing w:after="40"/>
      </w:pPr>
      <w:r>
        <w:rPr>
          <w:rFonts w:ascii="Aptos" w:hAnsi="Aptos"/>
          <w:sz w:val="18"/>
        </w:rPr>
        <w:t>No universal “recommended amount” detached from authority, population and value type.</w:t>
      </w:r>
    </w:p>
    <w:p>
      <w:pPr>
        <w:pStyle w:val="ListBullet"/>
        <w:spacing w:after="40"/>
      </w:pPr>
      <w:r>
        <w:rPr>
          <w:rFonts w:ascii="Aptos" w:hAnsi="Aptos"/>
          <w:sz w:val="18"/>
        </w:rPr>
        <w:t>No mixing values from India, US/Canada, FDA and EFSA into one synthetic number.</w:t>
      </w:r>
    </w:p>
    <w:p>
      <w:pPr>
        <w:pStyle w:val="ListBullet"/>
        <w:spacing w:after="40"/>
      </w:pPr>
      <w:r>
        <w:rPr>
          <w:rFonts w:ascii="Aptos" w:hAnsi="Aptos"/>
          <w:sz w:val="18"/>
        </w:rPr>
        <w:t>No automatic geolocation-based framework selection.</w:t>
      </w:r>
    </w:p>
    <w:p>
      <w:pPr>
        <w:pStyle w:val="ListBullet"/>
        <w:spacing w:after="40"/>
      </w:pPr>
      <w:r>
        <w:rPr>
          <w:rFonts w:ascii="Aptos" w:hAnsi="Aptos"/>
          <w:sz w:val="18"/>
        </w:rPr>
        <w:t>No reference value without source, framework version, unit and population.</w:t>
      </w:r>
    </w:p>
    <w:p>
      <w:pPr>
        <w:pStyle w:val="ListBullet"/>
        <w:spacing w:after="40"/>
      </w:pPr>
      <w:r>
        <w:rPr>
          <w:rFonts w:ascii="Aptos" w:hAnsi="Aptos"/>
          <w:sz w:val="18"/>
        </w:rPr>
        <w:t>No statement that an RDA is a minimum, an EAR is an individual target or a UL is a recommended goal.</w:t>
      </w:r>
    </w:p>
    <w:p>
      <w:pPr>
        <w:pStyle w:val="ListBullet"/>
        <w:spacing w:after="40"/>
      </w:pPr>
      <w:r>
        <w:rPr>
          <w:rFonts w:ascii="Aptos" w:hAnsi="Aptos"/>
          <w:sz w:val="18"/>
        </w:rPr>
        <w:t>No deficiency diagnosis from symptoms or food logs.</w:t>
      </w:r>
    </w:p>
    <w:p>
      <w:pPr>
        <w:pStyle w:val="ListBullet"/>
        <w:spacing w:after="40"/>
      </w:pPr>
      <w:r>
        <w:rPr>
          <w:rFonts w:ascii="Aptos" w:hAnsi="Aptos"/>
          <w:sz w:val="18"/>
        </w:rPr>
        <w:t>No claim that one food is “best” without a declared comparison basis.</w:t>
      </w:r>
    </w:p>
    <w:p>
      <w:pPr>
        <w:pStyle w:val="ListBullet"/>
        <w:spacing w:after="40"/>
      </w:pPr>
      <w:r>
        <w:rPr>
          <w:rFonts w:ascii="Aptos" w:hAnsi="Aptos"/>
          <w:sz w:val="18"/>
        </w:rPr>
        <w:t>Missing Phase 07 food values remain missing.</w:t>
      </w:r>
    </w:p>
    <w:p>
      <w:pPr>
        <w:pStyle w:val="ListBullet"/>
        <w:spacing w:after="40"/>
      </w:pPr>
      <w:r>
        <w:rPr>
          <w:rFonts w:ascii="Aptos" w:hAnsi="Aptos"/>
          <w:sz w:val="18"/>
        </w:rPr>
        <w:t>Repository-owned static JSON is the canonical encyclopedia content.</w:t>
      </w:r>
    </w:p>
    <w:p>
      <w:pPr>
        <w:pStyle w:val="ListBullet"/>
        <w:spacing w:after="40"/>
      </w:pPr>
      <w:r>
        <w:rPr>
          <w:rFonts w:ascii="Aptos" w:hAnsi="Aptos"/>
          <w:sz w:val="18"/>
        </w:rPr>
        <w:t>Optional framework preference may be stored locally only.</w:t>
      </w:r>
    </w:p>
    <w:p>
      <w:pPr>
        <w:pStyle w:val="Heading1"/>
      </w:pPr>
      <w:r>
        <w:t>4. Dependencies and ownership</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3389"/>
            <w:shd w:fill="17374E"/>
            <w:vAlign w:val="center"/>
            <w:tcMar>
              <w:top w:w="80" w:type="dxa"/>
              <w:start w:w="100" w:type="dxa"/>
              <w:bottom w:w="80" w:type="dxa"/>
              <w:end w:w="100" w:type="dxa"/>
            </w:tcMar>
          </w:tcPr>
          <w:p>
            <w:r>
              <w:rPr>
                <w:rFonts w:ascii="Aptos" w:hAnsi="Aptos"/>
                <w:b/>
                <w:color w:val="FFFFFF"/>
                <w:sz w:val="16"/>
              </w:rPr>
              <w:t>Concept</w:t>
            </w:r>
          </w:p>
        </w:tc>
        <w:tc>
          <w:tcPr>
            <w:tcW w:type="dxa" w:w="3389"/>
            <w:shd w:fill="17374E"/>
            <w:vAlign w:val="center"/>
            <w:tcMar>
              <w:top w:w="80" w:type="dxa"/>
              <w:start w:w="100" w:type="dxa"/>
              <w:bottom w:w="80" w:type="dxa"/>
              <w:end w:w="100" w:type="dxa"/>
            </w:tcMar>
          </w:tcPr>
          <w:p>
            <w:r>
              <w:rPr>
                <w:rFonts w:ascii="Aptos" w:hAnsi="Aptos"/>
                <w:b/>
                <w:color w:val="FFFFFF"/>
                <w:sz w:val="16"/>
              </w:rPr>
              <w:t>Owning phase</w:t>
            </w:r>
          </w:p>
        </w:tc>
        <w:tc>
          <w:tcPr>
            <w:tcW w:type="dxa" w:w="3389"/>
            <w:shd w:fill="17374E"/>
            <w:vAlign w:val="center"/>
            <w:tcMar>
              <w:top w:w="80" w:type="dxa"/>
              <w:start w:w="100" w:type="dxa"/>
              <w:bottom w:w="80" w:type="dxa"/>
              <w:end w:w="100" w:type="dxa"/>
            </w:tcMar>
          </w:tcPr>
          <w:p>
            <w:r>
              <w:rPr>
                <w:rFonts w:ascii="Aptos" w:hAnsi="Aptos"/>
                <w:b/>
                <w:color w:val="FFFFFF"/>
                <w:sz w:val="16"/>
              </w:rPr>
              <w:t>Phase 08 rule</w:t>
            </w:r>
          </w:p>
        </w:tc>
      </w:tr>
      <w:tr>
        <w:tc>
          <w:tcPr>
            <w:tcW w:type="dxa" w:w="3389"/>
            <w:tcMar>
              <w:top w:w="80" w:type="dxa"/>
              <w:start w:w="100" w:type="dxa"/>
              <w:bottom w:w="80" w:type="dxa"/>
              <w:end w:w="100" w:type="dxa"/>
            </w:tcMar>
            <w:vAlign w:val="top"/>
          </w:tcPr>
          <w:p>
            <w:r>
              <w:rPr>
                <w:rFonts w:ascii="Aptos" w:hAnsi="Aptos"/>
                <w:sz w:val="15"/>
              </w:rPr>
              <w:t>Application shell and design system</w:t>
            </w:r>
          </w:p>
        </w:tc>
        <w:tc>
          <w:tcPr>
            <w:tcW w:type="dxa" w:w="3389"/>
            <w:tcMar>
              <w:top w:w="80" w:type="dxa"/>
              <w:start w:w="100" w:type="dxa"/>
              <w:bottom w:w="80" w:type="dxa"/>
              <w:end w:w="100" w:type="dxa"/>
            </w:tcMar>
            <w:vAlign w:val="top"/>
          </w:tcPr>
          <w:p>
            <w:r>
              <w:rPr>
                <w:rFonts w:ascii="Aptos" w:hAnsi="Aptos"/>
                <w:sz w:val="15"/>
              </w:rPr>
              <w:t>Phase 01</w:t>
            </w:r>
          </w:p>
        </w:tc>
        <w:tc>
          <w:tcPr>
            <w:tcW w:type="dxa" w:w="3389"/>
            <w:tcMar>
              <w:top w:w="80" w:type="dxa"/>
              <w:start w:w="100" w:type="dxa"/>
              <w:bottom w:w="80" w:type="dxa"/>
              <w:end w:w="100" w:type="dxa"/>
            </w:tcMar>
            <w:vAlign w:val="top"/>
          </w:tcPr>
          <w:p>
            <w:r>
              <w:rPr>
                <w:rFonts w:ascii="Aptos" w:hAnsi="Aptos"/>
                <w:sz w:val="15"/>
              </w:rPr>
              <w:t>Reuse; do not redesign.</w:t>
            </w:r>
          </w:p>
        </w:tc>
      </w:tr>
      <w:tr>
        <w:tc>
          <w:tcPr>
            <w:tcW w:type="dxa" w:w="3389"/>
            <w:tcMar>
              <w:top w:w="80" w:type="dxa"/>
              <w:start w:w="100" w:type="dxa"/>
              <w:bottom w:w="80" w:type="dxa"/>
              <w:end w:w="100" w:type="dxa"/>
            </w:tcMar>
            <w:vAlign w:val="top"/>
            <w:shd w:fill="F5F8F9"/>
          </w:tcPr>
          <w:p>
            <w:r>
              <w:rPr>
                <w:rFonts w:ascii="Aptos" w:hAnsi="Aptos"/>
                <w:sz w:val="15"/>
              </w:rPr>
              <w:t>Food composition and nutrient measurements</w:t>
            </w:r>
          </w:p>
        </w:tc>
        <w:tc>
          <w:tcPr>
            <w:tcW w:type="dxa" w:w="3389"/>
            <w:tcMar>
              <w:top w:w="80" w:type="dxa"/>
              <w:start w:w="100" w:type="dxa"/>
              <w:bottom w:w="80" w:type="dxa"/>
              <w:end w:w="100" w:type="dxa"/>
            </w:tcMar>
            <w:vAlign w:val="top"/>
            <w:shd w:fill="F5F8F9"/>
          </w:tcPr>
          <w:p>
            <w:r>
              <w:rPr>
                <w:rFonts w:ascii="Aptos" w:hAnsi="Aptos"/>
                <w:sz w:val="15"/>
              </w:rPr>
              <w:t>Phase 07</w:t>
            </w:r>
          </w:p>
        </w:tc>
        <w:tc>
          <w:tcPr>
            <w:tcW w:type="dxa" w:w="3389"/>
            <w:tcMar>
              <w:top w:w="80" w:type="dxa"/>
              <w:start w:w="100" w:type="dxa"/>
              <w:bottom w:w="80" w:type="dxa"/>
              <w:end w:w="100" w:type="dxa"/>
            </w:tcMar>
            <w:vAlign w:val="top"/>
            <w:shd w:fill="F5F8F9"/>
          </w:tcPr>
          <w:p>
            <w:r>
              <w:rPr>
                <w:rFonts w:ascii="Aptos" w:hAnsi="Aptos"/>
                <w:sz w:val="15"/>
              </w:rPr>
              <w:t>Read verified profiles and stable nutrient IDs; never rewrite composition values.</w:t>
            </w:r>
          </w:p>
        </w:tc>
      </w:tr>
      <w:tr>
        <w:tc>
          <w:tcPr>
            <w:tcW w:type="dxa" w:w="3389"/>
            <w:tcMar>
              <w:top w:w="80" w:type="dxa"/>
              <w:start w:w="100" w:type="dxa"/>
              <w:bottom w:w="80" w:type="dxa"/>
              <w:end w:w="100" w:type="dxa"/>
            </w:tcMar>
            <w:vAlign w:val="top"/>
          </w:tcPr>
          <w:p>
            <w:r>
              <w:rPr>
                <w:rFonts w:ascii="Aptos" w:hAnsi="Aptos"/>
                <w:sz w:val="15"/>
              </w:rPr>
              <w:t>Diet targets and meal planning</w:t>
            </w:r>
          </w:p>
        </w:tc>
        <w:tc>
          <w:tcPr>
            <w:tcW w:type="dxa" w:w="3389"/>
            <w:tcMar>
              <w:top w:w="80" w:type="dxa"/>
              <w:start w:w="100" w:type="dxa"/>
              <w:bottom w:w="80" w:type="dxa"/>
              <w:end w:w="100" w:type="dxa"/>
            </w:tcMar>
            <w:vAlign w:val="top"/>
          </w:tcPr>
          <w:p>
            <w:r>
              <w:rPr>
                <w:rFonts w:ascii="Aptos" w:hAnsi="Aptos"/>
                <w:sz w:val="15"/>
              </w:rPr>
              <w:t>Phase 09</w:t>
            </w:r>
          </w:p>
        </w:tc>
        <w:tc>
          <w:tcPr>
            <w:tcW w:type="dxa" w:w="3389"/>
            <w:tcMar>
              <w:top w:w="80" w:type="dxa"/>
              <w:start w:w="100" w:type="dxa"/>
              <w:bottom w:w="80" w:type="dxa"/>
              <w:end w:w="100" w:type="dxa"/>
            </w:tcMar>
            <w:vAlign w:val="top"/>
          </w:tcPr>
          <w:p>
            <w:r>
              <w:rPr>
                <w:rFonts w:ascii="Aptos" w:hAnsi="Aptos"/>
                <w:sz w:val="15"/>
              </w:rPr>
              <w:t>Provide reference contracts only; do not generate a diet plan here.</w:t>
            </w:r>
          </w:p>
        </w:tc>
      </w:tr>
      <w:tr>
        <w:tc>
          <w:tcPr>
            <w:tcW w:type="dxa" w:w="3389"/>
            <w:tcMar>
              <w:top w:w="80" w:type="dxa"/>
              <w:start w:w="100" w:type="dxa"/>
              <w:bottom w:w="80" w:type="dxa"/>
              <w:end w:w="100" w:type="dxa"/>
            </w:tcMar>
            <w:vAlign w:val="top"/>
            <w:shd w:fill="F5F8F9"/>
          </w:tcPr>
          <w:p>
            <w:r>
              <w:rPr>
                <w:rFonts w:ascii="Aptos" w:hAnsi="Aptos"/>
                <w:sz w:val="15"/>
              </w:rPr>
              <w:t>Nutrition logging</w:t>
            </w:r>
          </w:p>
        </w:tc>
        <w:tc>
          <w:tcPr>
            <w:tcW w:type="dxa" w:w="3389"/>
            <w:tcMar>
              <w:top w:w="80" w:type="dxa"/>
              <w:start w:w="100" w:type="dxa"/>
              <w:bottom w:w="80" w:type="dxa"/>
              <w:end w:w="100" w:type="dxa"/>
            </w:tcMar>
            <w:vAlign w:val="top"/>
            <w:shd w:fill="F5F8F9"/>
          </w:tcPr>
          <w:p>
            <w:r>
              <w:rPr>
                <w:rFonts w:ascii="Aptos" w:hAnsi="Aptos"/>
                <w:sz w:val="15"/>
              </w:rPr>
              <w:t>Phase 10</w:t>
            </w:r>
          </w:p>
        </w:tc>
        <w:tc>
          <w:tcPr>
            <w:tcW w:type="dxa" w:w="3389"/>
            <w:tcMar>
              <w:top w:w="80" w:type="dxa"/>
              <w:start w:w="100" w:type="dxa"/>
              <w:bottom w:w="80" w:type="dxa"/>
              <w:end w:w="100" w:type="dxa"/>
            </w:tcMar>
            <w:vAlign w:val="top"/>
            <w:shd w:fill="F5F8F9"/>
          </w:tcPr>
          <w:p>
            <w:r>
              <w:rPr>
                <w:rFonts w:ascii="Aptos" w:hAnsi="Aptos"/>
                <w:sz w:val="15"/>
              </w:rPr>
              <w:t>Provide nutrient IDs, units and reference framework hooks.</w:t>
            </w:r>
          </w:p>
        </w:tc>
      </w:tr>
      <w:tr>
        <w:tc>
          <w:tcPr>
            <w:tcW w:type="dxa" w:w="3389"/>
            <w:tcMar>
              <w:top w:w="80" w:type="dxa"/>
              <w:start w:w="100" w:type="dxa"/>
              <w:bottom w:w="80" w:type="dxa"/>
              <w:end w:w="100" w:type="dxa"/>
            </w:tcMar>
            <w:vAlign w:val="top"/>
          </w:tcPr>
          <w:p>
            <w:r>
              <w:rPr>
                <w:rFonts w:ascii="Aptos" w:hAnsi="Aptos"/>
                <w:sz w:val="15"/>
              </w:rPr>
              <w:t>Recovery and sleep</w:t>
            </w:r>
          </w:p>
        </w:tc>
        <w:tc>
          <w:tcPr>
            <w:tcW w:type="dxa" w:w="3389"/>
            <w:tcMar>
              <w:top w:w="80" w:type="dxa"/>
              <w:start w:w="100" w:type="dxa"/>
              <w:bottom w:w="80" w:type="dxa"/>
              <w:end w:w="100" w:type="dxa"/>
            </w:tcMar>
            <w:vAlign w:val="top"/>
          </w:tcPr>
          <w:p>
            <w:r>
              <w:rPr>
                <w:rFonts w:ascii="Aptos" w:hAnsi="Aptos"/>
                <w:sz w:val="15"/>
              </w:rPr>
              <w:t>Phase 12</w:t>
            </w:r>
          </w:p>
        </w:tc>
        <w:tc>
          <w:tcPr>
            <w:tcW w:type="dxa" w:w="3389"/>
            <w:tcMar>
              <w:top w:w="80" w:type="dxa"/>
              <w:start w:w="100" w:type="dxa"/>
              <w:bottom w:w="80" w:type="dxa"/>
              <w:end w:w="100" w:type="dxa"/>
            </w:tcMar>
            <w:vAlign w:val="top"/>
          </w:tcPr>
          <w:p>
            <w:r>
              <w:rPr>
                <w:rFonts w:ascii="Aptos" w:hAnsi="Aptos"/>
                <w:sz w:val="15"/>
              </w:rPr>
              <w:t>Cross-link relevant education without creating recovery scores here.</w:t>
            </w:r>
          </w:p>
        </w:tc>
      </w:tr>
      <w:tr>
        <w:tc>
          <w:tcPr>
            <w:tcW w:type="dxa" w:w="3389"/>
            <w:tcMar>
              <w:top w:w="80" w:type="dxa"/>
              <w:start w:w="100" w:type="dxa"/>
              <w:bottom w:w="80" w:type="dxa"/>
              <w:end w:w="100" w:type="dxa"/>
            </w:tcMar>
            <w:vAlign w:val="top"/>
            <w:shd w:fill="F5F8F9"/>
          </w:tcPr>
          <w:p>
            <w:r>
              <w:rPr>
                <w:rFonts w:ascii="Aptos" w:hAnsi="Aptos"/>
                <w:sz w:val="15"/>
              </w:rPr>
              <w:t>Supplements</w:t>
            </w:r>
          </w:p>
        </w:tc>
        <w:tc>
          <w:tcPr>
            <w:tcW w:type="dxa" w:w="3389"/>
            <w:tcMar>
              <w:top w:w="80" w:type="dxa"/>
              <w:start w:w="100" w:type="dxa"/>
              <w:bottom w:w="80" w:type="dxa"/>
              <w:end w:w="100" w:type="dxa"/>
            </w:tcMar>
            <w:vAlign w:val="top"/>
            <w:shd w:fill="F5F8F9"/>
          </w:tcPr>
          <w:p>
            <w:r>
              <w:rPr>
                <w:rFonts w:ascii="Aptos" w:hAnsi="Aptos"/>
                <w:sz w:val="15"/>
              </w:rPr>
              <w:t>Phase 13</w:t>
            </w:r>
          </w:p>
        </w:tc>
        <w:tc>
          <w:tcPr>
            <w:tcW w:type="dxa" w:w="3389"/>
            <w:tcMar>
              <w:top w:w="80" w:type="dxa"/>
              <w:start w:w="100" w:type="dxa"/>
              <w:bottom w:w="80" w:type="dxa"/>
              <w:end w:w="100" w:type="dxa"/>
            </w:tcMar>
            <w:vAlign w:val="top"/>
            <w:shd w:fill="F5F8F9"/>
          </w:tcPr>
          <w:p>
            <w:r>
              <w:rPr>
                <w:rFonts w:ascii="Aptos" w:hAnsi="Aptos"/>
                <w:sz w:val="15"/>
              </w:rPr>
              <w:t>Mention supplement context carefully; detailed supplement pages belong there.</w:t>
            </w:r>
          </w:p>
        </w:tc>
      </w:tr>
      <w:tr>
        <w:tc>
          <w:tcPr>
            <w:tcW w:type="dxa" w:w="3389"/>
            <w:tcMar>
              <w:top w:w="80" w:type="dxa"/>
              <w:start w:w="100" w:type="dxa"/>
              <w:bottom w:w="80" w:type="dxa"/>
              <w:end w:w="100" w:type="dxa"/>
            </w:tcMar>
            <w:vAlign w:val="top"/>
          </w:tcPr>
          <w:p>
            <w:r>
              <w:rPr>
                <w:rFonts w:ascii="Aptos" w:hAnsi="Aptos"/>
                <w:sz w:val="15"/>
              </w:rPr>
              <w:t>Analytics</w:t>
            </w:r>
          </w:p>
        </w:tc>
        <w:tc>
          <w:tcPr>
            <w:tcW w:type="dxa" w:w="3389"/>
            <w:tcMar>
              <w:top w:w="80" w:type="dxa"/>
              <w:start w:w="100" w:type="dxa"/>
              <w:bottom w:w="80" w:type="dxa"/>
              <w:end w:w="100" w:type="dxa"/>
            </w:tcMar>
            <w:vAlign w:val="top"/>
          </w:tcPr>
          <w:p>
            <w:r>
              <w:rPr>
                <w:rFonts w:ascii="Aptos" w:hAnsi="Aptos"/>
                <w:sz w:val="15"/>
              </w:rPr>
              <w:t>Phase 15</w:t>
            </w:r>
          </w:p>
        </w:tc>
        <w:tc>
          <w:tcPr>
            <w:tcW w:type="dxa" w:w="3389"/>
            <w:tcMar>
              <w:top w:w="80" w:type="dxa"/>
              <w:start w:w="100" w:type="dxa"/>
              <w:bottom w:w="80" w:type="dxa"/>
              <w:end w:w="100" w:type="dxa"/>
            </w:tcMar>
            <w:vAlign w:val="top"/>
          </w:tcPr>
          <w:p>
            <w:r>
              <w:rPr>
                <w:rFonts w:ascii="Aptos" w:hAnsi="Aptos"/>
                <w:sz w:val="15"/>
              </w:rPr>
              <w:t>Expose deterministic reference calculations and metadata.</w:t>
            </w:r>
          </w:p>
        </w:tc>
      </w:tr>
    </w:tbl>
    <w:p>
      <w:pPr>
        <w:spacing w:after="20"/>
      </w:pPr>
    </w:p>
    <w:p>
      <w:pPr>
        <w:pStyle w:val="Heading1"/>
      </w:pPr>
      <w:r>
        <w:t>5. Required routes</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5083"/>
            <w:shd w:fill="17374E"/>
            <w:vAlign w:val="center"/>
            <w:tcMar>
              <w:top w:w="80" w:type="dxa"/>
              <w:start w:w="100" w:type="dxa"/>
              <w:bottom w:w="80" w:type="dxa"/>
              <w:end w:w="100" w:type="dxa"/>
            </w:tcMar>
          </w:tcPr>
          <w:p>
            <w:r>
              <w:rPr>
                <w:rFonts w:ascii="Aptos" w:hAnsi="Aptos"/>
                <w:b/>
                <w:color w:val="FFFFFF"/>
                <w:sz w:val="16"/>
              </w:rPr>
              <w:t>Route</w:t>
            </w:r>
          </w:p>
        </w:tc>
        <w:tc>
          <w:tcPr>
            <w:tcW w:type="dxa" w:w="5083"/>
            <w:shd w:fill="17374E"/>
            <w:vAlign w:val="center"/>
            <w:tcMar>
              <w:top w:w="80" w:type="dxa"/>
              <w:start w:w="100" w:type="dxa"/>
              <w:bottom w:w="80" w:type="dxa"/>
              <w:end w:w="100" w:type="dxa"/>
            </w:tcMar>
          </w:tcPr>
          <w:p>
            <w:r>
              <w:rPr>
                <w:rFonts w:ascii="Aptos" w:hAnsi="Aptos"/>
                <w:b/>
                <w:color w:val="FFFFFF"/>
                <w:sz w:val="16"/>
              </w:rPr>
              <w:t>Purpose</w:t>
            </w:r>
          </w:p>
        </w:tc>
      </w:tr>
      <w:tr>
        <w:tc>
          <w:tcPr>
            <w:tcW w:type="dxa" w:w="5083"/>
            <w:tcMar>
              <w:top w:w="80" w:type="dxa"/>
              <w:start w:w="100" w:type="dxa"/>
              <w:bottom w:w="80" w:type="dxa"/>
              <w:end w:w="100" w:type="dxa"/>
            </w:tcMar>
            <w:vAlign w:val="top"/>
          </w:tcPr>
          <w:p>
            <w:r>
              <w:rPr>
                <w:rFonts w:ascii="Liberation Mono" w:hAnsi="Liberation Mono"/>
                <w:color w:val="2D3748"/>
                <w:sz w:val="16"/>
              </w:rPr>
              <w:t>/nutrients</w:t>
            </w:r>
          </w:p>
        </w:tc>
        <w:tc>
          <w:tcPr>
            <w:tcW w:type="dxa" w:w="5083"/>
            <w:tcMar>
              <w:top w:w="80" w:type="dxa"/>
              <w:start w:w="100" w:type="dxa"/>
              <w:bottom w:w="80" w:type="dxa"/>
              <w:end w:w="100" w:type="dxa"/>
            </w:tcMar>
            <w:vAlign w:val="top"/>
          </w:tcPr>
          <w:p>
            <w:r>
              <w:rPr>
                <w:rFonts w:ascii="Aptos" w:hAnsi="Aptos"/>
                <w:sz w:val="15"/>
              </w:rPr>
              <w:t>Searchable nutrient and dietary-component catalogue.</w:t>
            </w:r>
          </w:p>
        </w:tc>
      </w:tr>
      <w:tr>
        <w:tc>
          <w:tcPr>
            <w:tcW w:type="dxa" w:w="5083"/>
            <w:tcMar>
              <w:top w:w="80" w:type="dxa"/>
              <w:start w:w="100" w:type="dxa"/>
              <w:bottom w:w="80" w:type="dxa"/>
              <w:end w:w="100" w:type="dxa"/>
            </w:tcMar>
            <w:vAlign w:val="top"/>
            <w:shd w:fill="F5F8F9"/>
          </w:tcPr>
          <w:p>
            <w:r>
              <w:rPr>
                <w:rFonts w:ascii="Liberation Mono" w:hAnsi="Liberation Mono"/>
                <w:color w:val="2D3748"/>
                <w:sz w:val="16"/>
              </w:rPr>
              <w:t>/nutrients/$slug</w:t>
            </w:r>
          </w:p>
        </w:tc>
        <w:tc>
          <w:tcPr>
            <w:tcW w:type="dxa" w:w="5083"/>
            <w:tcMar>
              <w:top w:w="80" w:type="dxa"/>
              <w:start w:w="100" w:type="dxa"/>
              <w:bottom w:w="80" w:type="dxa"/>
              <w:end w:w="100" w:type="dxa"/>
            </w:tcMar>
            <w:vAlign w:val="top"/>
            <w:shd w:fill="F5F8F9"/>
          </w:tcPr>
          <w:p>
            <w:r>
              <w:rPr>
                <w:rFonts w:ascii="Aptos" w:hAnsi="Aptos"/>
                <w:sz w:val="15"/>
              </w:rPr>
              <w:t>Detailed nutrient page.</w:t>
            </w:r>
          </w:p>
        </w:tc>
      </w:tr>
      <w:tr>
        <w:tc>
          <w:tcPr>
            <w:tcW w:type="dxa" w:w="5083"/>
            <w:tcMar>
              <w:top w:w="80" w:type="dxa"/>
              <w:start w:w="100" w:type="dxa"/>
              <w:bottom w:w="80" w:type="dxa"/>
              <w:end w:w="100" w:type="dxa"/>
            </w:tcMar>
            <w:vAlign w:val="top"/>
          </w:tcPr>
          <w:p>
            <w:r>
              <w:rPr>
                <w:rFonts w:ascii="Liberation Mono" w:hAnsi="Liberation Mono"/>
                <w:color w:val="2D3748"/>
                <w:sz w:val="16"/>
              </w:rPr>
              <w:t>/nutrients/categories/$groupId</w:t>
            </w:r>
          </w:p>
        </w:tc>
        <w:tc>
          <w:tcPr>
            <w:tcW w:type="dxa" w:w="5083"/>
            <w:tcMar>
              <w:top w:w="80" w:type="dxa"/>
              <w:start w:w="100" w:type="dxa"/>
              <w:bottom w:w="80" w:type="dxa"/>
              <w:end w:w="100" w:type="dxa"/>
            </w:tcMar>
            <w:vAlign w:val="top"/>
          </w:tcPr>
          <w:p>
            <w:r>
              <w:rPr>
                <w:rFonts w:ascii="Aptos" w:hAnsi="Aptos"/>
                <w:sz w:val="15"/>
              </w:rPr>
              <w:t>Group-focused catalogue.</w:t>
            </w:r>
          </w:p>
        </w:tc>
      </w:tr>
      <w:tr>
        <w:tc>
          <w:tcPr>
            <w:tcW w:type="dxa" w:w="5083"/>
            <w:tcMar>
              <w:top w:w="80" w:type="dxa"/>
              <w:start w:w="100" w:type="dxa"/>
              <w:bottom w:w="80" w:type="dxa"/>
              <w:end w:w="100" w:type="dxa"/>
            </w:tcMar>
            <w:vAlign w:val="top"/>
            <w:shd w:fill="F5F8F9"/>
          </w:tcPr>
          <w:p>
            <w:r>
              <w:rPr>
                <w:rFonts w:ascii="Liberation Mono" w:hAnsi="Liberation Mono"/>
                <w:color w:val="2D3748"/>
                <w:sz w:val="16"/>
              </w:rPr>
              <w:t>/nutrients/compare</w:t>
            </w:r>
          </w:p>
        </w:tc>
        <w:tc>
          <w:tcPr>
            <w:tcW w:type="dxa" w:w="5083"/>
            <w:tcMar>
              <w:top w:w="80" w:type="dxa"/>
              <w:start w:w="100" w:type="dxa"/>
              <w:bottom w:w="80" w:type="dxa"/>
              <w:end w:w="100" w:type="dxa"/>
            </w:tcMar>
            <w:vAlign w:val="top"/>
            <w:shd w:fill="F5F8F9"/>
          </w:tcPr>
          <w:p>
            <w:r>
              <w:rPr>
                <w:rFonts w:ascii="Aptos" w:hAnsi="Aptos"/>
                <w:sz w:val="15"/>
              </w:rPr>
              <w:t>Compare two to four nutrient topics conceptually.</w:t>
            </w:r>
          </w:p>
        </w:tc>
      </w:tr>
      <w:tr>
        <w:tc>
          <w:tcPr>
            <w:tcW w:type="dxa" w:w="5083"/>
            <w:tcMar>
              <w:top w:w="80" w:type="dxa"/>
              <w:start w:w="100" w:type="dxa"/>
              <w:bottom w:w="80" w:type="dxa"/>
              <w:end w:w="100" w:type="dxa"/>
            </w:tcMar>
            <w:vAlign w:val="top"/>
          </w:tcPr>
          <w:p>
            <w:r>
              <w:rPr>
                <w:rFonts w:ascii="Liberation Mono" w:hAnsi="Liberation Mono"/>
                <w:color w:val="2D3748"/>
                <w:sz w:val="16"/>
              </w:rPr>
              <w:t>/nutrients/reference-intakes</w:t>
            </w:r>
          </w:p>
        </w:tc>
        <w:tc>
          <w:tcPr>
            <w:tcW w:type="dxa" w:w="5083"/>
            <w:tcMar>
              <w:top w:w="80" w:type="dxa"/>
              <w:start w:w="100" w:type="dxa"/>
              <w:bottom w:w="80" w:type="dxa"/>
              <w:end w:w="100" w:type="dxa"/>
            </w:tcMar>
            <w:vAlign w:val="top"/>
          </w:tcPr>
          <w:p>
            <w:r>
              <w:rPr>
                <w:rFonts w:ascii="Aptos" w:hAnsi="Aptos"/>
                <w:sz w:val="15"/>
              </w:rPr>
              <w:t>Reference Intake Explorer.</w:t>
            </w:r>
          </w:p>
        </w:tc>
      </w:tr>
      <w:tr>
        <w:tc>
          <w:tcPr>
            <w:tcW w:type="dxa" w:w="5083"/>
            <w:tcMar>
              <w:top w:w="80" w:type="dxa"/>
              <w:start w:w="100" w:type="dxa"/>
              <w:bottom w:w="80" w:type="dxa"/>
              <w:end w:w="100" w:type="dxa"/>
            </w:tcMar>
            <w:vAlign w:val="top"/>
            <w:shd w:fill="F5F8F9"/>
          </w:tcPr>
          <w:p>
            <w:r>
              <w:rPr>
                <w:rFonts w:ascii="Liberation Mono" w:hAnsi="Liberation Mono"/>
                <w:color w:val="2D3748"/>
                <w:sz w:val="16"/>
              </w:rPr>
              <w:t>/nutrients/frameworks</w:t>
            </w:r>
          </w:p>
        </w:tc>
        <w:tc>
          <w:tcPr>
            <w:tcW w:type="dxa" w:w="5083"/>
            <w:tcMar>
              <w:top w:w="80" w:type="dxa"/>
              <w:start w:w="100" w:type="dxa"/>
              <w:bottom w:w="80" w:type="dxa"/>
              <w:end w:w="100" w:type="dxa"/>
            </w:tcMar>
            <w:vAlign w:val="top"/>
            <w:shd w:fill="F5F8F9"/>
          </w:tcPr>
          <w:p>
            <w:r>
              <w:rPr>
                <w:rFonts w:ascii="Aptos" w:hAnsi="Aptos"/>
                <w:sz w:val="15"/>
              </w:rPr>
              <w:t>Explain DRI, DV, ICMR-NIN and EFSA frameworks.</w:t>
            </w:r>
          </w:p>
        </w:tc>
      </w:tr>
      <w:tr>
        <w:tc>
          <w:tcPr>
            <w:tcW w:type="dxa" w:w="5083"/>
            <w:tcMar>
              <w:top w:w="80" w:type="dxa"/>
              <w:start w:w="100" w:type="dxa"/>
              <w:bottom w:w="80" w:type="dxa"/>
              <w:end w:w="100" w:type="dxa"/>
            </w:tcMar>
            <w:vAlign w:val="top"/>
          </w:tcPr>
          <w:p>
            <w:r>
              <w:rPr>
                <w:rFonts w:ascii="Liberation Mono" w:hAnsi="Liberation Mono"/>
                <w:color w:val="2D3748"/>
                <w:sz w:val="16"/>
              </w:rPr>
              <w:t>/nutrients/methodology</w:t>
            </w:r>
          </w:p>
        </w:tc>
        <w:tc>
          <w:tcPr>
            <w:tcW w:type="dxa" w:w="5083"/>
            <w:tcMar>
              <w:top w:w="80" w:type="dxa"/>
              <w:start w:w="100" w:type="dxa"/>
              <w:bottom w:w="80" w:type="dxa"/>
              <w:end w:w="100" w:type="dxa"/>
            </w:tcMar>
            <w:vAlign w:val="top"/>
          </w:tcPr>
          <w:p>
            <w:r>
              <w:rPr>
                <w:rFonts w:ascii="Aptos" w:hAnsi="Aptos"/>
                <w:sz w:val="15"/>
              </w:rPr>
              <w:t>Units, evidence, food ranking, conversions and limitations.</w:t>
            </w:r>
          </w:p>
        </w:tc>
      </w:tr>
      <w:tr>
        <w:tc>
          <w:tcPr>
            <w:tcW w:type="dxa" w:w="5083"/>
            <w:tcMar>
              <w:top w:w="80" w:type="dxa"/>
              <w:start w:w="100" w:type="dxa"/>
              <w:bottom w:w="80" w:type="dxa"/>
              <w:end w:w="100" w:type="dxa"/>
            </w:tcMar>
            <w:vAlign w:val="top"/>
            <w:shd w:fill="F5F8F9"/>
          </w:tcPr>
          <w:p>
            <w:r>
              <w:rPr>
                <w:rFonts w:ascii="Liberation Mono" w:hAnsi="Liberation Mono"/>
                <w:color w:val="2D3748"/>
                <w:sz w:val="16"/>
              </w:rPr>
              <w:t>/nutrients/glossary</w:t>
            </w:r>
          </w:p>
        </w:tc>
        <w:tc>
          <w:tcPr>
            <w:tcW w:type="dxa" w:w="5083"/>
            <w:tcMar>
              <w:top w:w="80" w:type="dxa"/>
              <w:start w:w="100" w:type="dxa"/>
              <w:bottom w:w="80" w:type="dxa"/>
              <w:end w:w="100" w:type="dxa"/>
            </w:tcMar>
            <w:vAlign w:val="top"/>
            <w:shd w:fill="F5F8F9"/>
          </w:tcPr>
          <w:p>
            <w:r>
              <w:rPr>
                <w:rFonts w:ascii="Aptos" w:hAnsi="Aptos"/>
                <w:sz w:val="15"/>
              </w:rPr>
              <w:t>RDA, EAR, AI, UL, AMDR, DFE, RAE, NE and related terms.</w:t>
            </w:r>
          </w:p>
        </w:tc>
      </w:tr>
    </w:tbl>
    <w:p>
      <w:pPr>
        <w:spacing w:after="20"/>
      </w:pPr>
    </w:p>
    <w:p>
      <w:r>
        <w:rPr>
          <w:rFonts w:ascii="Aptos" w:hAnsi="Aptos"/>
          <w:sz w:val="19"/>
        </w:rPr>
        <w:t>Invalid slugs and incomplete records must show recoverable states rather than fabricated fallback text.</w:t>
      </w:r>
    </w:p>
    <w:p>
      <w:pPr>
        <w:pStyle w:val="Heading1"/>
      </w:pPr>
      <w:r>
        <w:t>6. Primary navigation and grouping</w:t>
      </w:r>
    </w:p>
    <w:p>
      <w:r>
        <w:rPr>
          <w:rFonts w:ascii="Aptos" w:hAnsi="Aptos"/>
          <w:sz w:val="19"/>
        </w:rPr>
        <w:t>The Nutrient Encyclopedia navigation must expose:</w:t>
      </w:r>
    </w:p>
    <w:p>
      <w:pPr>
        <w:pStyle w:val="ListBullet"/>
        <w:spacing w:after="40"/>
      </w:pPr>
      <w:r>
        <w:rPr>
          <w:rFonts w:ascii="Aptos" w:hAnsi="Aptos"/>
          <w:sz w:val="18"/>
        </w:rPr>
        <w:t>Energy and hydration.</w:t>
      </w:r>
    </w:p>
    <w:p>
      <w:pPr>
        <w:pStyle w:val="ListBullet"/>
        <w:spacing w:after="40"/>
      </w:pPr>
      <w:r>
        <w:rPr>
          <w:rFonts w:ascii="Aptos" w:hAnsi="Aptos"/>
          <w:sz w:val="18"/>
        </w:rPr>
        <w:t>Macronutrients.</w:t>
      </w:r>
    </w:p>
    <w:p>
      <w:pPr>
        <w:pStyle w:val="ListBullet"/>
        <w:spacing w:after="40"/>
      </w:pPr>
      <w:r>
        <w:rPr>
          <w:rFonts w:ascii="Aptos" w:hAnsi="Aptos"/>
          <w:sz w:val="18"/>
        </w:rPr>
        <w:t>Fat classes.</w:t>
      </w:r>
    </w:p>
    <w:p>
      <w:pPr>
        <w:pStyle w:val="ListBullet"/>
        <w:spacing w:after="40"/>
      </w:pPr>
      <w:r>
        <w:rPr>
          <w:rFonts w:ascii="Aptos" w:hAnsi="Aptos"/>
          <w:sz w:val="18"/>
        </w:rPr>
        <w:t>Vitamins.</w:t>
      </w:r>
    </w:p>
    <w:p>
      <w:pPr>
        <w:pStyle w:val="ListBullet"/>
        <w:spacing w:after="40"/>
      </w:pPr>
      <w:r>
        <w:rPr>
          <w:rFonts w:ascii="Aptos" w:hAnsi="Aptos"/>
          <w:sz w:val="18"/>
        </w:rPr>
        <w:t>Minerals and electrolytes.</w:t>
      </w:r>
    </w:p>
    <w:p>
      <w:pPr>
        <w:pStyle w:val="ListBullet"/>
        <w:spacing w:after="40"/>
      </w:pPr>
      <w:r>
        <w:rPr>
          <w:rFonts w:ascii="Aptos" w:hAnsi="Aptos"/>
          <w:sz w:val="18"/>
        </w:rPr>
        <w:t>Other essential nutrients.</w:t>
      </w:r>
    </w:p>
    <w:p>
      <w:pPr>
        <w:pStyle w:val="ListBullet"/>
        <w:spacing w:after="40"/>
      </w:pPr>
      <w:r>
        <w:rPr>
          <w:rFonts w:ascii="Aptos" w:hAnsi="Aptos"/>
          <w:sz w:val="18"/>
        </w:rPr>
        <w:t>Dietary components.</w:t>
      </w:r>
    </w:p>
    <w:p>
      <w:pPr>
        <w:pStyle w:val="ListBullet"/>
        <w:spacing w:after="40"/>
      </w:pPr>
      <w:r>
        <w:rPr>
          <w:rFonts w:ascii="Aptos" w:hAnsi="Aptos"/>
          <w:sz w:val="18"/>
        </w:rPr>
        <w:t>Reference Intake Explorer.</w:t>
      </w:r>
    </w:p>
    <w:p>
      <w:pPr>
        <w:pStyle w:val="ListBullet"/>
        <w:spacing w:after="40"/>
      </w:pPr>
      <w:r>
        <w:rPr>
          <w:rFonts w:ascii="Aptos" w:hAnsi="Aptos"/>
          <w:sz w:val="18"/>
        </w:rPr>
        <w:t>Frameworks and glossary.</w:t>
      </w:r>
    </w:p>
    <w:p>
      <w:pPr>
        <w:pStyle w:val="ListBullet"/>
        <w:spacing w:after="40"/>
      </w:pPr>
      <w:r>
        <w:rPr>
          <w:rFonts w:ascii="Aptos" w:hAnsi="Aptos"/>
          <w:sz w:val="18"/>
        </w:rPr>
        <w:t>Methodology.</w:t>
      </w:r>
    </w:p>
    <w:p>
      <w:r>
        <w:rPr>
          <w:rFonts w:ascii="Aptos" w:hAnsi="Aptos"/>
          <w:sz w:val="19"/>
        </w:rPr>
        <w:t>Do not classify nutrients as “good” or “bad.” Use physiological and compositional categories.</w:t>
      </w:r>
    </w:p>
    <w:p>
      <w:pPr>
        <w:pStyle w:val="Heading1"/>
      </w:pPr>
      <w:r>
        <w:t>7. Stable identity and Phase 07 compatibility</w:t>
      </w:r>
    </w:p>
    <w:p>
      <w:r>
        <w:rPr>
          <w:rFonts w:ascii="Aptos" w:hAnsi="Aptos"/>
          <w:sz w:val="19"/>
        </w:rPr>
        <w:t>The attached seed taxonomy contains 51 stable nutrient identities.</w:t>
      </w:r>
    </w:p>
    <w:p>
      <w:pPr>
        <w:pStyle w:val="ListBullet"/>
        <w:spacing w:after="40"/>
      </w:pPr>
      <w:r>
        <w:rPr>
          <w:rFonts w:ascii="Aptos" w:hAnsi="Aptos"/>
          <w:sz w:val="18"/>
        </w:rPr>
        <w:t>44 identities map directly to Phase 07 nutrient measurements.</w:t>
      </w:r>
    </w:p>
    <w:p>
      <w:pPr>
        <w:pStyle w:val="ListBullet"/>
        <w:spacing w:after="40"/>
      </w:pPr>
      <w:r>
        <w:rPr>
          <w:rFonts w:ascii="Aptos" w:hAnsi="Aptos"/>
          <w:sz w:val="18"/>
        </w:rPr>
        <w:t>7 encyclopedia-only identities are reserved for broader education or a future non-breaking Phase 07 schema extension.</w:t>
      </w:r>
    </w:p>
    <w:p>
      <w:pPr>
        <w:pStyle w:val="ListBullet"/>
        <w:spacing w:after="40"/>
      </w:pPr>
      <w:r>
        <w:rPr>
          <w:rFonts w:ascii="Aptos" w:hAnsi="Aptos"/>
          <w:sz w:val="18"/>
        </w:rPr>
        <w:t>Phase 07 IDs must never be renamed casually.</w:t>
      </w:r>
    </w:p>
    <w:p>
      <w:pPr>
        <w:pStyle w:val="ListBullet"/>
        <w:spacing w:after="40"/>
      </w:pPr>
      <w:r>
        <w:rPr>
          <w:rFonts w:ascii="Aptos" w:hAnsi="Aptos"/>
          <w:sz w:val="18"/>
        </w:rPr>
        <w:t>Display labels may change without changing stable IDs.</w:t>
      </w:r>
    </w:p>
    <w:p>
      <w:pPr>
        <w:pStyle w:val="ListBullet"/>
        <w:spacing w:after="40"/>
      </w:pPr>
      <w:r>
        <w:rPr>
          <w:rFonts w:ascii="Aptos" w:hAnsi="Aptos"/>
          <w:sz w:val="18"/>
        </w:rPr>
        <w:t>A nutrient page may link to multiple source-database forms.</w:t>
      </w:r>
    </w:p>
    <w:p>
      <w:pPr>
        <w:pStyle w:val="ListBullet"/>
        <w:spacing w:after="40"/>
      </w:pPr>
      <w:r>
        <w:rPr>
          <w:rFonts w:ascii="Aptos" w:hAnsi="Aptos"/>
          <w:sz w:val="18"/>
        </w:rPr>
        <w:t>Forms such as retinol and beta-carotene must not be naively added to total vitamin A.</w:t>
      </w:r>
    </w:p>
    <w:p>
      <w:pPr>
        <w:pStyle w:val="ListBullet"/>
        <w:spacing w:after="40"/>
      </w:pPr>
      <w:r>
        <w:rPr>
          <w:rFonts w:ascii="Aptos" w:hAnsi="Aptos"/>
          <w:sz w:val="18"/>
        </w:rPr>
        <w:t>Food folate, folic acid and DFE must preserve their distinct meaning.</w:t>
      </w:r>
    </w:p>
    <w:p>
      <w:pPr>
        <w:pStyle w:val="Heading1"/>
      </w:pPr>
      <w:r>
        <w:t>8. Nutrient record model</w:t>
      </w:r>
    </w:p>
    <w:p>
      <w:r>
        <w:rPr>
          <w:rFonts w:ascii="Aptos" w:hAnsi="Aptos"/>
          <w:sz w:val="19"/>
        </w:rPr>
        <w:t>Every production nutrient record may contain:</w:t>
      </w:r>
    </w:p>
    <w:p>
      <w:pPr>
        <w:pStyle w:val="ListBullet"/>
        <w:spacing w:after="40"/>
      </w:pPr>
      <w:r>
        <w:rPr>
          <w:rFonts w:ascii="Aptos" w:hAnsi="Aptos"/>
          <w:sz w:val="18"/>
        </w:rPr>
        <w:t>Stable ID and slug.</w:t>
      </w:r>
    </w:p>
    <w:p>
      <w:pPr>
        <w:pStyle w:val="ListBullet"/>
        <w:spacing w:after="40"/>
      </w:pPr>
      <w:r>
        <w:rPr>
          <w:rFonts w:ascii="Aptos" w:hAnsi="Aptos"/>
          <w:sz w:val="18"/>
        </w:rPr>
        <w:t>Canonical name and aliases.</w:t>
      </w:r>
    </w:p>
    <w:p>
      <w:pPr>
        <w:pStyle w:val="ListBullet"/>
        <w:spacing w:after="40"/>
      </w:pPr>
      <w:r>
        <w:rPr>
          <w:rFonts w:ascii="Aptos" w:hAnsi="Aptos"/>
          <w:sz w:val="18"/>
        </w:rPr>
        <w:t>Group and display type.</w:t>
      </w:r>
    </w:p>
    <w:p>
      <w:pPr>
        <w:pStyle w:val="ListBullet"/>
        <w:spacing w:after="40"/>
      </w:pPr>
      <w:r>
        <w:rPr>
          <w:rFonts w:ascii="Aptos" w:hAnsi="Aptos"/>
          <w:sz w:val="18"/>
        </w:rPr>
        <w:t>Essentiality classification.</w:t>
      </w:r>
    </w:p>
    <w:p>
      <w:pPr>
        <w:pStyle w:val="ListBullet"/>
        <w:spacing w:after="40"/>
      </w:pPr>
      <w:r>
        <w:rPr>
          <w:rFonts w:ascii="Aptos" w:hAnsi="Aptos"/>
          <w:sz w:val="18"/>
        </w:rPr>
        <w:t>Canonical unit.</w:t>
      </w:r>
    </w:p>
    <w:p>
      <w:pPr>
        <w:pStyle w:val="ListBullet"/>
        <w:spacing w:after="40"/>
      </w:pPr>
      <w:r>
        <w:rPr>
          <w:rFonts w:ascii="Aptos" w:hAnsi="Aptos"/>
          <w:sz w:val="18"/>
        </w:rPr>
        <w:t>Phase 07 nutrient IDs.</w:t>
      </w:r>
    </w:p>
    <w:p>
      <w:pPr>
        <w:pStyle w:val="ListBullet"/>
        <w:spacing w:after="40"/>
      </w:pPr>
      <w:r>
        <w:rPr>
          <w:rFonts w:ascii="Aptos" w:hAnsi="Aptos"/>
          <w:sz w:val="18"/>
        </w:rPr>
        <w:t>Plain-language summary.</w:t>
      </w:r>
    </w:p>
    <w:p>
      <w:pPr>
        <w:pStyle w:val="ListBullet"/>
        <w:spacing w:after="40"/>
      </w:pPr>
      <w:r>
        <w:rPr>
          <w:rFonts w:ascii="Aptos" w:hAnsi="Aptos"/>
          <w:sz w:val="18"/>
        </w:rPr>
        <w:t>Chemical or nutritional forms.</w:t>
      </w:r>
    </w:p>
    <w:p>
      <w:pPr>
        <w:pStyle w:val="ListBullet"/>
        <w:spacing w:after="40"/>
      </w:pPr>
      <w:r>
        <w:rPr>
          <w:rFonts w:ascii="Aptos" w:hAnsi="Aptos"/>
          <w:sz w:val="18"/>
        </w:rPr>
        <w:t>Core functions.</w:t>
      </w:r>
    </w:p>
    <w:p>
      <w:pPr>
        <w:pStyle w:val="ListBullet"/>
        <w:spacing w:after="40"/>
      </w:pPr>
      <w:r>
        <w:rPr>
          <w:rFonts w:ascii="Aptos" w:hAnsi="Aptos"/>
          <w:sz w:val="18"/>
        </w:rPr>
        <w:t>Reference values by framework and population.</w:t>
      </w:r>
    </w:p>
    <w:p>
      <w:pPr>
        <w:pStyle w:val="ListBullet"/>
        <w:spacing w:after="40"/>
      </w:pPr>
      <w:r>
        <w:rPr>
          <w:rFonts w:ascii="Aptos" w:hAnsi="Aptos"/>
          <w:sz w:val="18"/>
        </w:rPr>
        <w:t>Food-source ranking rules.</w:t>
      </w:r>
    </w:p>
    <w:p>
      <w:pPr>
        <w:pStyle w:val="ListBullet"/>
        <w:spacing w:after="40"/>
      </w:pPr>
      <w:r>
        <w:rPr>
          <w:rFonts w:ascii="Aptos" w:hAnsi="Aptos"/>
          <w:sz w:val="18"/>
        </w:rPr>
        <w:t>Absorption enhancers and inhibitors.</w:t>
      </w:r>
    </w:p>
    <w:p>
      <w:pPr>
        <w:pStyle w:val="ListBullet"/>
        <w:spacing w:after="40"/>
      </w:pPr>
      <w:r>
        <w:rPr>
          <w:rFonts w:ascii="Aptos" w:hAnsi="Aptos"/>
          <w:sz w:val="18"/>
        </w:rPr>
        <w:t>Deficiency overview and risk groups.</w:t>
      </w:r>
    </w:p>
    <w:p>
      <w:pPr>
        <w:pStyle w:val="ListBullet"/>
        <w:spacing w:after="40"/>
      </w:pPr>
      <w:r>
        <w:rPr>
          <w:rFonts w:ascii="Aptos" w:hAnsi="Aptos"/>
          <w:sz w:val="18"/>
        </w:rPr>
        <w:t>Excess-intake overview and upper limits.</w:t>
      </w:r>
    </w:p>
    <w:p>
      <w:pPr>
        <w:pStyle w:val="ListBullet"/>
        <w:spacing w:after="40"/>
      </w:pPr>
      <w:r>
        <w:rPr>
          <w:rFonts w:ascii="Aptos" w:hAnsi="Aptos"/>
          <w:sz w:val="18"/>
        </w:rPr>
        <w:t>Interactions.</w:t>
      </w:r>
    </w:p>
    <w:p>
      <w:pPr>
        <w:pStyle w:val="ListBullet"/>
        <w:spacing w:after="40"/>
      </w:pPr>
      <w:r>
        <w:rPr>
          <w:rFonts w:ascii="Aptos" w:hAnsi="Aptos"/>
          <w:sz w:val="18"/>
        </w:rPr>
        <w:t>Training relevance.</w:t>
      </w:r>
    </w:p>
    <w:p>
      <w:pPr>
        <w:pStyle w:val="ListBullet"/>
        <w:spacing w:after="40"/>
      </w:pPr>
      <w:r>
        <w:rPr>
          <w:rFonts w:ascii="Aptos" w:hAnsi="Aptos"/>
          <w:sz w:val="18"/>
        </w:rPr>
        <w:t>Claim-level evidence.</w:t>
      </w:r>
    </w:p>
    <w:p>
      <w:pPr>
        <w:pStyle w:val="ListBullet"/>
        <w:spacing w:after="40"/>
      </w:pPr>
      <w:r>
        <w:rPr>
          <w:rFonts w:ascii="Aptos" w:hAnsi="Aptos"/>
          <w:sz w:val="18"/>
        </w:rPr>
        <w:t>Source citations.</w:t>
      </w:r>
    </w:p>
    <w:p>
      <w:pPr>
        <w:pStyle w:val="ListBullet"/>
        <w:spacing w:after="40"/>
      </w:pPr>
      <w:r>
        <w:rPr>
          <w:rFonts w:ascii="Aptos" w:hAnsi="Aptos"/>
          <w:sz w:val="18"/>
        </w:rPr>
        <w:t>Editorial review metadata.</w:t>
      </w:r>
    </w:p>
    <w:p>
      <w:r>
        <w:rPr>
          <w:rFonts w:ascii="Aptos" w:hAnsi="Aptos"/>
          <w:sz w:val="19"/>
        </w:rPr>
        <w:t>Lovable must use the attached JSON Schema as the canonical contract.</w:t>
      </w:r>
    </w:p>
    <w:p>
      <w:pPr>
        <w:pStyle w:val="Heading1"/>
      </w:pPr>
      <w:r>
        <w:t>9. Publication gates</w:t>
      </w:r>
    </w:p>
    <w:p>
      <w:r>
        <w:rPr>
          <w:rFonts w:ascii="Aptos" w:hAnsi="Aptos"/>
          <w:sz w:val="19"/>
        </w:rPr>
        <w:t>A nutrient record may be published only when:</w:t>
      </w:r>
    </w:p>
    <w:p>
      <w:pPr>
        <w:pStyle w:val="ListBullet"/>
        <w:spacing w:after="40"/>
      </w:pPr>
      <w:r>
        <w:rPr>
          <w:rFonts w:ascii="Aptos" w:hAnsi="Aptos"/>
          <w:sz w:val="18"/>
        </w:rPr>
        <w:t>Identity and aliases are reviewed.</w:t>
      </w:r>
    </w:p>
    <w:p>
      <w:pPr>
        <w:pStyle w:val="ListBullet"/>
        <w:spacing w:after="40"/>
      </w:pPr>
      <w:r>
        <w:rPr>
          <w:rFonts w:ascii="Aptos" w:hAnsi="Aptos"/>
          <w:sz w:val="18"/>
        </w:rPr>
        <w:t>Summary and functions have authoritative sources.</w:t>
      </w:r>
    </w:p>
    <w:p>
      <w:pPr>
        <w:pStyle w:val="ListBullet"/>
        <w:spacing w:after="40"/>
      </w:pPr>
      <w:r>
        <w:rPr>
          <w:rFonts w:ascii="Aptos" w:hAnsi="Aptos"/>
          <w:sz w:val="18"/>
        </w:rPr>
        <w:t>Units and forms are correct.</w:t>
      </w:r>
    </w:p>
    <w:p>
      <w:pPr>
        <w:pStyle w:val="ListBullet"/>
        <w:spacing w:after="40"/>
      </w:pPr>
      <w:r>
        <w:rPr>
          <w:rFonts w:ascii="Aptos" w:hAnsi="Aptos"/>
          <w:sz w:val="18"/>
        </w:rPr>
        <w:t>Every displayed reference value has framework, population, type and source.</w:t>
      </w:r>
    </w:p>
    <w:p>
      <w:pPr>
        <w:pStyle w:val="ListBullet"/>
        <w:spacing w:after="40"/>
      </w:pPr>
      <w:r>
        <w:rPr>
          <w:rFonts w:ascii="Aptos" w:hAnsi="Aptos"/>
          <w:sz w:val="18"/>
        </w:rPr>
        <w:t>Deficiency and excess sections include a medical boundary.</w:t>
      </w:r>
    </w:p>
    <w:p>
      <w:pPr>
        <w:pStyle w:val="ListBullet"/>
        <w:spacing w:after="40"/>
      </w:pPr>
      <w:r>
        <w:rPr>
          <w:rFonts w:ascii="Aptos" w:hAnsi="Aptos"/>
          <w:sz w:val="18"/>
        </w:rPr>
        <w:t>Interactions are source-backed and severity-labelled.</w:t>
      </w:r>
    </w:p>
    <w:p>
      <w:pPr>
        <w:pStyle w:val="ListBullet"/>
        <w:spacing w:after="40"/>
      </w:pPr>
      <w:r>
        <w:rPr>
          <w:rFonts w:ascii="Aptos" w:hAnsi="Aptos"/>
          <w:sz w:val="18"/>
        </w:rPr>
        <w:t>Food rankings use verified Phase 07 data.</w:t>
      </w:r>
    </w:p>
    <w:p>
      <w:pPr>
        <w:pStyle w:val="ListBullet"/>
        <w:spacing w:after="40"/>
      </w:pPr>
      <w:r>
        <w:rPr>
          <w:rFonts w:ascii="Aptos" w:hAnsi="Aptos"/>
          <w:sz w:val="18"/>
        </w:rPr>
        <w:t>No unsupported athletic claim remains.</w:t>
      </w:r>
    </w:p>
    <w:p>
      <w:pPr>
        <w:pStyle w:val="ListBullet"/>
        <w:spacing w:after="40"/>
      </w:pPr>
      <w:r>
        <w:rPr>
          <w:rFonts w:ascii="Aptos" w:hAnsi="Aptos"/>
          <w:sz w:val="18"/>
        </w:rPr>
        <w:t>Editorial and scientific review are approved.</w:t>
      </w:r>
    </w:p>
    <w:p>
      <w:r>
        <w:rPr>
          <w:rFonts w:ascii="Aptos" w:hAnsi="Aptos"/>
          <w:sz w:val="19"/>
        </w:rPr>
        <w:t>Draft identities must remain hidden from public production views.</w:t>
      </w:r>
    </w:p>
    <w:p>
      <w:pPr>
        <w:pStyle w:val="Heading1"/>
      </w:pPr>
      <w:r>
        <w:t>10. Reference-value concepts</w:t>
      </w:r>
    </w:p>
    <w:p>
      <w:r>
        <w:rPr>
          <w:rFonts w:ascii="Aptos" w:hAnsi="Aptos"/>
          <w:sz w:val="19"/>
        </w:rPr>
        <w:t>The application must distinguish:</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3389"/>
            <w:shd w:fill="17374E"/>
            <w:vAlign w:val="center"/>
            <w:tcMar>
              <w:top w:w="80" w:type="dxa"/>
              <w:start w:w="100" w:type="dxa"/>
              <w:bottom w:w="80" w:type="dxa"/>
              <w:end w:w="100" w:type="dxa"/>
            </w:tcMar>
          </w:tcPr>
          <w:p>
            <w:r>
              <w:rPr>
                <w:rFonts w:ascii="Aptos" w:hAnsi="Aptos"/>
                <w:b/>
                <w:color w:val="FFFFFF"/>
                <w:sz w:val="16"/>
              </w:rPr>
              <w:t>Type</w:t>
            </w:r>
          </w:p>
        </w:tc>
        <w:tc>
          <w:tcPr>
            <w:tcW w:type="dxa" w:w="3389"/>
            <w:shd w:fill="17374E"/>
            <w:vAlign w:val="center"/>
            <w:tcMar>
              <w:top w:w="80" w:type="dxa"/>
              <w:start w:w="100" w:type="dxa"/>
              <w:bottom w:w="80" w:type="dxa"/>
              <w:end w:w="100" w:type="dxa"/>
            </w:tcMar>
          </w:tcPr>
          <w:p>
            <w:r>
              <w:rPr>
                <w:rFonts w:ascii="Aptos" w:hAnsi="Aptos"/>
                <w:b/>
                <w:color w:val="FFFFFF"/>
                <w:sz w:val="16"/>
              </w:rPr>
              <w:t>Meaning in the interface</w:t>
            </w:r>
          </w:p>
        </w:tc>
        <w:tc>
          <w:tcPr>
            <w:tcW w:type="dxa" w:w="3389"/>
            <w:shd w:fill="17374E"/>
            <w:vAlign w:val="center"/>
            <w:tcMar>
              <w:top w:w="80" w:type="dxa"/>
              <w:start w:w="100" w:type="dxa"/>
              <w:bottom w:w="80" w:type="dxa"/>
              <w:end w:w="100" w:type="dxa"/>
            </w:tcMar>
          </w:tcPr>
          <w:p>
            <w:r>
              <w:rPr>
                <w:rFonts w:ascii="Aptos" w:hAnsi="Aptos"/>
                <w:b/>
                <w:color w:val="FFFFFF"/>
                <w:sz w:val="16"/>
              </w:rPr>
              <w:t>Prohibited interpretation</w:t>
            </w:r>
          </w:p>
        </w:tc>
      </w:tr>
      <w:tr>
        <w:tc>
          <w:tcPr>
            <w:tcW w:type="dxa" w:w="3389"/>
            <w:tcMar>
              <w:top w:w="80" w:type="dxa"/>
              <w:start w:w="100" w:type="dxa"/>
              <w:bottom w:w="80" w:type="dxa"/>
              <w:end w:w="100" w:type="dxa"/>
            </w:tcMar>
            <w:vAlign w:val="top"/>
          </w:tcPr>
          <w:p>
            <w:r>
              <w:rPr>
                <w:rFonts w:ascii="Aptos" w:hAnsi="Aptos"/>
                <w:sz w:val="15"/>
              </w:rPr>
              <w:t>RDA</w:t>
            </w:r>
          </w:p>
        </w:tc>
        <w:tc>
          <w:tcPr>
            <w:tcW w:type="dxa" w:w="3389"/>
            <w:tcMar>
              <w:top w:w="80" w:type="dxa"/>
              <w:start w:w="100" w:type="dxa"/>
              <w:bottom w:w="80" w:type="dxa"/>
              <w:end w:w="100" w:type="dxa"/>
            </w:tcMar>
            <w:vAlign w:val="top"/>
          </w:tcPr>
          <w:p>
            <w:r>
              <w:rPr>
                <w:rFonts w:ascii="Aptos" w:hAnsi="Aptos"/>
                <w:sz w:val="15"/>
              </w:rPr>
              <w:t>Intake sufficient for nearly all healthy individuals in a specified group.</w:t>
            </w:r>
          </w:p>
        </w:tc>
        <w:tc>
          <w:tcPr>
            <w:tcW w:type="dxa" w:w="3389"/>
            <w:tcMar>
              <w:top w:w="80" w:type="dxa"/>
              <w:start w:w="100" w:type="dxa"/>
              <w:bottom w:w="80" w:type="dxa"/>
              <w:end w:w="100" w:type="dxa"/>
            </w:tcMar>
            <w:vAlign w:val="top"/>
          </w:tcPr>
          <w:p>
            <w:r>
              <w:rPr>
                <w:rFonts w:ascii="Aptos" w:hAnsi="Aptos"/>
                <w:sz w:val="15"/>
              </w:rPr>
              <w:t>Universal minimum or treatment dose.</w:t>
            </w:r>
          </w:p>
        </w:tc>
      </w:tr>
      <w:tr>
        <w:tc>
          <w:tcPr>
            <w:tcW w:type="dxa" w:w="3389"/>
            <w:tcMar>
              <w:top w:w="80" w:type="dxa"/>
              <w:start w:w="100" w:type="dxa"/>
              <w:bottom w:w="80" w:type="dxa"/>
              <w:end w:w="100" w:type="dxa"/>
            </w:tcMar>
            <w:vAlign w:val="top"/>
            <w:shd w:fill="F5F8F9"/>
          </w:tcPr>
          <w:p>
            <w:r>
              <w:rPr>
                <w:rFonts w:ascii="Aptos" w:hAnsi="Aptos"/>
                <w:sz w:val="15"/>
              </w:rPr>
              <w:t>AI</w:t>
            </w:r>
          </w:p>
        </w:tc>
        <w:tc>
          <w:tcPr>
            <w:tcW w:type="dxa" w:w="3389"/>
            <w:tcMar>
              <w:top w:w="80" w:type="dxa"/>
              <w:start w:w="100" w:type="dxa"/>
              <w:bottom w:w="80" w:type="dxa"/>
              <w:end w:w="100" w:type="dxa"/>
            </w:tcMar>
            <w:vAlign w:val="top"/>
            <w:shd w:fill="F5F8F9"/>
          </w:tcPr>
          <w:p>
            <w:r>
              <w:rPr>
                <w:rFonts w:ascii="Aptos" w:hAnsi="Aptos"/>
                <w:sz w:val="15"/>
              </w:rPr>
              <w:t>Assumed adequate where evidence is insufficient for an RDA.</w:t>
            </w:r>
          </w:p>
        </w:tc>
        <w:tc>
          <w:tcPr>
            <w:tcW w:type="dxa" w:w="3389"/>
            <w:tcMar>
              <w:top w:w="80" w:type="dxa"/>
              <w:start w:w="100" w:type="dxa"/>
              <w:bottom w:w="80" w:type="dxa"/>
              <w:end w:w="100" w:type="dxa"/>
            </w:tcMar>
            <w:vAlign w:val="top"/>
            <w:shd w:fill="F5F8F9"/>
          </w:tcPr>
          <w:p>
            <w:r>
              <w:rPr>
                <w:rFonts w:ascii="Aptos" w:hAnsi="Aptos"/>
                <w:sz w:val="15"/>
              </w:rPr>
              <w:t>Proven exact requirement.</w:t>
            </w:r>
          </w:p>
        </w:tc>
      </w:tr>
      <w:tr>
        <w:tc>
          <w:tcPr>
            <w:tcW w:type="dxa" w:w="3389"/>
            <w:tcMar>
              <w:top w:w="80" w:type="dxa"/>
              <w:start w:w="100" w:type="dxa"/>
              <w:bottom w:w="80" w:type="dxa"/>
              <w:end w:w="100" w:type="dxa"/>
            </w:tcMar>
            <w:vAlign w:val="top"/>
          </w:tcPr>
          <w:p>
            <w:r>
              <w:rPr>
                <w:rFonts w:ascii="Aptos" w:hAnsi="Aptos"/>
                <w:sz w:val="15"/>
              </w:rPr>
              <w:t>EAR</w:t>
            </w:r>
          </w:p>
        </w:tc>
        <w:tc>
          <w:tcPr>
            <w:tcW w:type="dxa" w:w="3389"/>
            <w:tcMar>
              <w:top w:w="80" w:type="dxa"/>
              <w:start w:w="100" w:type="dxa"/>
              <w:bottom w:w="80" w:type="dxa"/>
              <w:end w:w="100" w:type="dxa"/>
            </w:tcMar>
            <w:vAlign w:val="top"/>
          </w:tcPr>
          <w:p>
            <w:r>
              <w:rPr>
                <w:rFonts w:ascii="Aptos" w:hAnsi="Aptos"/>
                <w:sz w:val="15"/>
              </w:rPr>
              <w:t>Estimated to meet the requirement of half of a healthy group.</w:t>
            </w:r>
          </w:p>
        </w:tc>
        <w:tc>
          <w:tcPr>
            <w:tcW w:type="dxa" w:w="3389"/>
            <w:tcMar>
              <w:top w:w="80" w:type="dxa"/>
              <w:start w:w="100" w:type="dxa"/>
              <w:bottom w:w="80" w:type="dxa"/>
              <w:end w:w="100" w:type="dxa"/>
            </w:tcMar>
            <w:vAlign w:val="top"/>
          </w:tcPr>
          <w:p>
            <w:r>
              <w:rPr>
                <w:rFonts w:ascii="Aptos" w:hAnsi="Aptos"/>
                <w:sz w:val="15"/>
              </w:rPr>
              <w:t>Personal daily target.</w:t>
            </w:r>
          </w:p>
        </w:tc>
      </w:tr>
      <w:tr>
        <w:tc>
          <w:tcPr>
            <w:tcW w:type="dxa" w:w="3389"/>
            <w:tcMar>
              <w:top w:w="80" w:type="dxa"/>
              <w:start w:w="100" w:type="dxa"/>
              <w:bottom w:w="80" w:type="dxa"/>
              <w:end w:w="100" w:type="dxa"/>
            </w:tcMar>
            <w:vAlign w:val="top"/>
            <w:shd w:fill="F5F8F9"/>
          </w:tcPr>
          <w:p>
            <w:r>
              <w:rPr>
                <w:rFonts w:ascii="Aptos" w:hAnsi="Aptos"/>
                <w:sz w:val="15"/>
              </w:rPr>
              <w:t>UL / TUL</w:t>
            </w:r>
          </w:p>
        </w:tc>
        <w:tc>
          <w:tcPr>
            <w:tcW w:type="dxa" w:w="3389"/>
            <w:tcMar>
              <w:top w:w="80" w:type="dxa"/>
              <w:start w:w="100" w:type="dxa"/>
              <w:bottom w:w="80" w:type="dxa"/>
              <w:end w:w="100" w:type="dxa"/>
            </w:tcMar>
            <w:vAlign w:val="top"/>
            <w:shd w:fill="F5F8F9"/>
          </w:tcPr>
          <w:p>
            <w:r>
              <w:rPr>
                <w:rFonts w:ascii="Aptos" w:hAnsi="Aptos"/>
                <w:sz w:val="15"/>
              </w:rPr>
              <w:t>Highest chronic daily intake unlikely to pose risk for most people in the stated group.</w:t>
            </w:r>
          </w:p>
        </w:tc>
        <w:tc>
          <w:tcPr>
            <w:tcW w:type="dxa" w:w="3389"/>
            <w:tcMar>
              <w:top w:w="80" w:type="dxa"/>
              <w:start w:w="100" w:type="dxa"/>
              <w:bottom w:w="80" w:type="dxa"/>
              <w:end w:w="100" w:type="dxa"/>
            </w:tcMar>
            <w:vAlign w:val="top"/>
            <w:shd w:fill="F5F8F9"/>
          </w:tcPr>
          <w:p>
            <w:r>
              <w:rPr>
                <w:rFonts w:ascii="Aptos" w:hAnsi="Aptos"/>
                <w:sz w:val="15"/>
              </w:rPr>
              <w:t>Recommended amount to reach.</w:t>
            </w:r>
          </w:p>
        </w:tc>
      </w:tr>
      <w:tr>
        <w:tc>
          <w:tcPr>
            <w:tcW w:type="dxa" w:w="3389"/>
            <w:tcMar>
              <w:top w:w="80" w:type="dxa"/>
              <w:start w:w="100" w:type="dxa"/>
              <w:bottom w:w="80" w:type="dxa"/>
              <w:end w:w="100" w:type="dxa"/>
            </w:tcMar>
            <w:vAlign w:val="top"/>
          </w:tcPr>
          <w:p>
            <w:r>
              <w:rPr>
                <w:rFonts w:ascii="Aptos" w:hAnsi="Aptos"/>
                <w:sz w:val="15"/>
              </w:rPr>
              <w:t>AMDR / RI</w:t>
            </w:r>
          </w:p>
        </w:tc>
        <w:tc>
          <w:tcPr>
            <w:tcW w:type="dxa" w:w="3389"/>
            <w:tcMar>
              <w:top w:w="80" w:type="dxa"/>
              <w:start w:w="100" w:type="dxa"/>
              <w:bottom w:w="80" w:type="dxa"/>
              <w:end w:w="100" w:type="dxa"/>
            </w:tcMar>
            <w:vAlign w:val="top"/>
          </w:tcPr>
          <w:p>
            <w:r>
              <w:rPr>
                <w:rFonts w:ascii="Aptos" w:hAnsi="Aptos"/>
                <w:sz w:val="15"/>
              </w:rPr>
              <w:t>Intake range, usually as percentage of energy, associated with adequacy and lower chronic-disease risk.</w:t>
            </w:r>
          </w:p>
        </w:tc>
        <w:tc>
          <w:tcPr>
            <w:tcW w:type="dxa" w:w="3389"/>
            <w:tcMar>
              <w:top w:w="80" w:type="dxa"/>
              <w:start w:w="100" w:type="dxa"/>
              <w:bottom w:w="80" w:type="dxa"/>
              <w:end w:w="100" w:type="dxa"/>
            </w:tcMar>
            <w:vAlign w:val="top"/>
          </w:tcPr>
          <w:p>
            <w:r>
              <w:rPr>
                <w:rFonts w:ascii="Aptos" w:hAnsi="Aptos"/>
                <w:sz w:val="15"/>
              </w:rPr>
              <w:t>Exact gram target without energy context.</w:t>
            </w:r>
          </w:p>
        </w:tc>
      </w:tr>
      <w:tr>
        <w:tc>
          <w:tcPr>
            <w:tcW w:type="dxa" w:w="3389"/>
            <w:tcMar>
              <w:top w:w="80" w:type="dxa"/>
              <w:start w:w="100" w:type="dxa"/>
              <w:bottom w:w="80" w:type="dxa"/>
              <w:end w:w="100" w:type="dxa"/>
            </w:tcMar>
            <w:vAlign w:val="top"/>
            <w:shd w:fill="F5F8F9"/>
          </w:tcPr>
          <w:p>
            <w:r>
              <w:rPr>
                <w:rFonts w:ascii="Aptos" w:hAnsi="Aptos"/>
                <w:sz w:val="15"/>
              </w:rPr>
              <w:t>CDRR</w:t>
            </w:r>
          </w:p>
        </w:tc>
        <w:tc>
          <w:tcPr>
            <w:tcW w:type="dxa" w:w="3389"/>
            <w:tcMar>
              <w:top w:w="80" w:type="dxa"/>
              <w:start w:w="100" w:type="dxa"/>
              <w:bottom w:w="80" w:type="dxa"/>
              <w:end w:w="100" w:type="dxa"/>
            </w:tcMar>
            <w:vAlign w:val="top"/>
            <w:shd w:fill="F5F8F9"/>
          </w:tcPr>
          <w:p>
            <w:r>
              <w:rPr>
                <w:rFonts w:ascii="Aptos" w:hAnsi="Aptos"/>
                <w:sz w:val="15"/>
              </w:rPr>
              <w:t>Intake above which reduction is expected to reduce chronic-disease risk for a population.</w:t>
            </w:r>
          </w:p>
        </w:tc>
        <w:tc>
          <w:tcPr>
            <w:tcW w:type="dxa" w:w="3389"/>
            <w:tcMar>
              <w:top w:w="80" w:type="dxa"/>
              <w:start w:w="100" w:type="dxa"/>
              <w:bottom w:w="80" w:type="dxa"/>
              <w:end w:w="100" w:type="dxa"/>
            </w:tcMar>
            <w:vAlign w:val="top"/>
            <w:shd w:fill="F5F8F9"/>
          </w:tcPr>
          <w:p>
            <w:r>
              <w:rPr>
                <w:rFonts w:ascii="Aptos" w:hAnsi="Aptos"/>
                <w:sz w:val="15"/>
              </w:rPr>
              <w:t>Toxicity threshold.</w:t>
            </w:r>
          </w:p>
        </w:tc>
      </w:tr>
      <w:tr>
        <w:tc>
          <w:tcPr>
            <w:tcW w:type="dxa" w:w="3389"/>
            <w:tcMar>
              <w:top w:w="80" w:type="dxa"/>
              <w:start w:w="100" w:type="dxa"/>
              <w:bottom w:w="80" w:type="dxa"/>
              <w:end w:w="100" w:type="dxa"/>
            </w:tcMar>
            <w:vAlign w:val="top"/>
          </w:tcPr>
          <w:p>
            <w:r>
              <w:rPr>
                <w:rFonts w:ascii="Aptos" w:hAnsi="Aptos"/>
                <w:sz w:val="15"/>
              </w:rPr>
              <w:t>DV</w:t>
            </w:r>
          </w:p>
        </w:tc>
        <w:tc>
          <w:tcPr>
            <w:tcW w:type="dxa" w:w="3389"/>
            <w:tcMar>
              <w:top w:w="80" w:type="dxa"/>
              <w:start w:w="100" w:type="dxa"/>
              <w:bottom w:w="80" w:type="dxa"/>
              <w:end w:w="100" w:type="dxa"/>
            </w:tcMar>
            <w:vAlign w:val="top"/>
          </w:tcPr>
          <w:p>
            <w:r>
              <w:rPr>
                <w:rFonts w:ascii="Aptos" w:hAnsi="Aptos"/>
                <w:sz w:val="15"/>
              </w:rPr>
              <w:t>Single food-label reference value.</w:t>
            </w:r>
          </w:p>
        </w:tc>
        <w:tc>
          <w:tcPr>
            <w:tcW w:type="dxa" w:w="3389"/>
            <w:tcMar>
              <w:top w:w="80" w:type="dxa"/>
              <w:start w:w="100" w:type="dxa"/>
              <w:bottom w:w="80" w:type="dxa"/>
              <w:end w:w="100" w:type="dxa"/>
            </w:tcMar>
            <w:vAlign w:val="top"/>
          </w:tcPr>
          <w:p>
            <w:r>
              <w:rPr>
                <w:rFonts w:ascii="Aptos" w:hAnsi="Aptos"/>
                <w:sz w:val="15"/>
              </w:rPr>
              <w:t>Personal RDA.</w:t>
            </w:r>
          </w:p>
        </w:tc>
      </w:tr>
      <w:tr>
        <w:tc>
          <w:tcPr>
            <w:tcW w:type="dxa" w:w="3389"/>
            <w:tcMar>
              <w:top w:w="80" w:type="dxa"/>
              <w:start w:w="100" w:type="dxa"/>
              <w:bottom w:w="80" w:type="dxa"/>
              <w:end w:w="100" w:type="dxa"/>
            </w:tcMar>
            <w:vAlign w:val="top"/>
            <w:shd w:fill="F5F8F9"/>
          </w:tcPr>
          <w:p>
            <w:r>
              <w:rPr>
                <w:rFonts w:ascii="Aptos" w:hAnsi="Aptos"/>
                <w:sz w:val="15"/>
              </w:rPr>
              <w:t>PRI / AR</w:t>
            </w:r>
          </w:p>
        </w:tc>
        <w:tc>
          <w:tcPr>
            <w:tcW w:type="dxa" w:w="3389"/>
            <w:tcMar>
              <w:top w:w="80" w:type="dxa"/>
              <w:start w:w="100" w:type="dxa"/>
              <w:bottom w:w="80" w:type="dxa"/>
              <w:end w:w="100" w:type="dxa"/>
            </w:tcMar>
            <w:vAlign w:val="top"/>
            <w:shd w:fill="F5F8F9"/>
          </w:tcPr>
          <w:p>
            <w:r>
              <w:rPr>
                <w:rFonts w:ascii="Aptos" w:hAnsi="Aptos"/>
                <w:sz w:val="15"/>
              </w:rPr>
              <w:t>EFSA population reference concepts.</w:t>
            </w:r>
          </w:p>
        </w:tc>
        <w:tc>
          <w:tcPr>
            <w:tcW w:type="dxa" w:w="3389"/>
            <w:tcMar>
              <w:top w:w="80" w:type="dxa"/>
              <w:start w:w="100" w:type="dxa"/>
              <w:bottom w:w="80" w:type="dxa"/>
              <w:end w:w="100" w:type="dxa"/>
            </w:tcMar>
            <w:vAlign w:val="top"/>
            <w:shd w:fill="F5F8F9"/>
          </w:tcPr>
          <w:p>
            <w:r>
              <w:rPr>
                <w:rFonts w:ascii="Aptos" w:hAnsi="Aptos"/>
                <w:sz w:val="15"/>
              </w:rPr>
              <w:t>Directly interchangeable with RDA/EAR without explanation.</w:t>
            </w:r>
          </w:p>
        </w:tc>
      </w:tr>
    </w:tbl>
    <w:p>
      <w:pPr>
        <w:spacing w:after="20"/>
      </w:pPr>
    </w:p>
    <w:p>
      <w:r>
        <w:rPr>
          <w:rFonts w:ascii="Aptos" w:hAnsi="Aptos"/>
          <w:sz w:val="19"/>
        </w:rPr>
        <w:t>Tooltips and glossary pages must explain the distinction in plain language.</w:t>
      </w:r>
    </w:p>
    <w:p>
      <w:pPr>
        <w:pStyle w:val="Heading1"/>
      </w:pPr>
      <w:r>
        <w:t>11. Reference frameworks</w:t>
      </w:r>
    </w:p>
    <w:p>
      <w:pPr>
        <w:pStyle w:val="Heading2"/>
      </w:pPr>
      <w:r>
        <w:t>11.1 US/Canada DRI</w:t>
      </w:r>
    </w:p>
    <w:p>
      <w:r>
        <w:rPr>
          <w:rFonts w:ascii="Aptos" w:hAnsi="Aptos"/>
          <w:sz w:val="19"/>
        </w:rPr>
        <w:t>Use for structured RDA, AI, EAR, UL, AMDR and CDRR values when source data is verified. Values vary by age, sex and life stage.</w:t>
      </w:r>
    </w:p>
    <w:p>
      <w:pPr>
        <w:pStyle w:val="Heading2"/>
      </w:pPr>
      <w:r>
        <w:t>11.2 FDA Daily Value</w:t>
      </w:r>
    </w:p>
    <w:p>
      <w:r>
        <w:rPr>
          <w:rFonts w:ascii="Aptos" w:hAnsi="Aptos"/>
          <w:sz w:val="19"/>
        </w:rPr>
        <w:t>Use for optional food-label-style percentage calculations. It is one reference value for an intended label population, not a personalised requirement.</w:t>
      </w:r>
    </w:p>
    <w:p>
      <w:pPr>
        <w:pStyle w:val="Heading2"/>
      </w:pPr>
      <w:r>
        <w:t>11.3 India ICMR-NIN 2020</w:t>
      </w:r>
    </w:p>
    <w:p>
      <w:r>
        <w:rPr>
          <w:rFonts w:ascii="Aptos" w:hAnsi="Aptos"/>
          <w:sz w:val="19"/>
        </w:rPr>
        <w:t>This is the preferred Indian context framework. The public NIN material confirms the 2020 report includes RDA, EAR and tolerable upper limits. Do not scrape or bulk reproduce paid or copyright tables until structured-use rights are confirmed.</w:t>
      </w:r>
    </w:p>
    <w:p>
      <w:pPr>
        <w:pStyle w:val="Heading2"/>
      </w:pPr>
      <w:r>
        <w:t>11.4 EFSA DRV</w:t>
      </w:r>
    </w:p>
    <w:p>
      <w:r>
        <w:rPr>
          <w:rFonts w:ascii="Aptos" w:hAnsi="Aptos"/>
          <w:sz w:val="19"/>
        </w:rPr>
        <w:t>Use as an optional comparative professional framework. EFSA states that DRVs guide professionals and policy; they are not individual prescriptions.</w:t>
      </w:r>
    </w:p>
    <w:p>
      <w:pPr>
        <w:pStyle w:val="Heading2"/>
      </w:pPr>
      <w:r>
        <w:t>11.5 Framework isolation</w:t>
      </w:r>
    </w:p>
    <w:p>
      <w:pPr>
        <w:pStyle w:val="ListBullet"/>
        <w:spacing w:after="40"/>
      </w:pPr>
      <w:r>
        <w:rPr>
          <w:rFonts w:ascii="Aptos" w:hAnsi="Aptos"/>
          <w:sz w:val="18"/>
        </w:rPr>
        <w:t>Store every framework separately.</w:t>
      </w:r>
    </w:p>
    <w:p>
      <w:pPr>
        <w:pStyle w:val="ListBullet"/>
        <w:spacing w:after="40"/>
      </w:pPr>
      <w:r>
        <w:rPr>
          <w:rFonts w:ascii="Aptos" w:hAnsi="Aptos"/>
          <w:sz w:val="18"/>
        </w:rPr>
        <w:t>Never average reference values.</w:t>
      </w:r>
    </w:p>
    <w:p>
      <w:pPr>
        <w:pStyle w:val="ListBullet"/>
        <w:spacing w:after="40"/>
      </w:pPr>
      <w:r>
        <w:rPr>
          <w:rFonts w:ascii="Aptos" w:hAnsi="Aptos"/>
          <w:sz w:val="18"/>
        </w:rPr>
        <w:t>Show authority and version.</w:t>
      </w:r>
    </w:p>
    <w:p>
      <w:pPr>
        <w:pStyle w:val="ListBullet"/>
        <w:spacing w:after="40"/>
      </w:pPr>
      <w:r>
        <w:rPr>
          <w:rFonts w:ascii="Aptos" w:hAnsi="Aptos"/>
          <w:sz w:val="18"/>
        </w:rPr>
        <w:t>Preserve each framework’s terminology.</w:t>
      </w:r>
    </w:p>
    <w:p>
      <w:pPr>
        <w:pStyle w:val="ListBullet"/>
        <w:spacing w:after="40"/>
      </w:pPr>
      <w:r>
        <w:rPr>
          <w:rFonts w:ascii="Aptos" w:hAnsi="Aptos"/>
          <w:sz w:val="18"/>
        </w:rPr>
        <w:t>Let users switch explicitly.</w:t>
      </w:r>
    </w:p>
    <w:p>
      <w:pPr>
        <w:pStyle w:val="ListBullet"/>
        <w:spacing w:after="40"/>
      </w:pPr>
      <w:r>
        <w:rPr>
          <w:rFonts w:ascii="Aptos" w:hAnsi="Aptos"/>
          <w:sz w:val="18"/>
        </w:rPr>
        <w:t>Store only the selected framework ID locally.</w:t>
      </w:r>
    </w:p>
    <w:p>
      <w:pPr>
        <w:pStyle w:val="Heading1"/>
      </w:pPr>
      <w:r>
        <w:t>12. Reference Intake Explorer</w:t>
      </w:r>
    </w:p>
    <w:p>
      <w:r>
        <w:rPr>
          <w:rFonts w:ascii="Aptos" w:hAnsi="Aptos"/>
          <w:sz w:val="19"/>
        </w:rPr>
        <w:t xml:space="preserve">The </w:t>
      </w:r>
      <w:r>
        <w:rPr>
          <w:rFonts w:ascii="Liberation Mono" w:hAnsi="Liberation Mono"/>
          <w:color w:val="2D3748"/>
          <w:sz w:val="16"/>
        </w:rPr>
        <w:t>/nutrients/reference-intakes</w:t>
      </w:r>
      <w:r>
        <w:rPr>
          <w:rFonts w:ascii="Aptos" w:hAnsi="Aptos"/>
          <w:sz w:val="19"/>
        </w:rPr>
        <w:t xml:space="preserve"> tool is a reference-table explorer, not a medical calculator.</w:t>
      </w:r>
    </w:p>
    <w:p>
      <w:r>
        <w:rPr>
          <w:rFonts w:ascii="Aptos" w:hAnsi="Aptos"/>
          <w:sz w:val="19"/>
        </w:rPr>
        <w:t>Inputs:</w:t>
      </w:r>
    </w:p>
    <w:p>
      <w:pPr>
        <w:pStyle w:val="ListBullet"/>
        <w:spacing w:after="40"/>
      </w:pPr>
      <w:r>
        <w:rPr>
          <w:rFonts w:ascii="Aptos" w:hAnsi="Aptos"/>
          <w:sz w:val="18"/>
        </w:rPr>
        <w:t>Framework.</w:t>
      </w:r>
    </w:p>
    <w:p>
      <w:pPr>
        <w:pStyle w:val="ListBullet"/>
        <w:spacing w:after="40"/>
      </w:pPr>
      <w:r>
        <w:rPr>
          <w:rFonts w:ascii="Aptos" w:hAnsi="Aptos"/>
          <w:sz w:val="18"/>
        </w:rPr>
        <w:t>Age or age band.</w:t>
      </w:r>
    </w:p>
    <w:p>
      <w:pPr>
        <w:pStyle w:val="ListBullet"/>
        <w:spacing w:after="40"/>
      </w:pPr>
      <w:r>
        <w:rPr>
          <w:rFonts w:ascii="Aptos" w:hAnsi="Aptos"/>
          <w:sz w:val="18"/>
        </w:rPr>
        <w:t>Sex where the framework distinguishes it.</w:t>
      </w:r>
    </w:p>
    <w:p>
      <w:pPr>
        <w:pStyle w:val="ListBullet"/>
        <w:spacing w:after="40"/>
      </w:pPr>
      <w:r>
        <w:rPr>
          <w:rFonts w:ascii="Aptos" w:hAnsi="Aptos"/>
          <w:sz w:val="18"/>
        </w:rPr>
        <w:t>General, pregnancy or lactation life stage.</w:t>
      </w:r>
    </w:p>
    <w:p>
      <w:pPr>
        <w:pStyle w:val="ListBullet"/>
        <w:spacing w:after="40"/>
      </w:pPr>
      <w:r>
        <w:rPr>
          <w:rFonts w:ascii="Aptos" w:hAnsi="Aptos"/>
          <w:sz w:val="18"/>
        </w:rPr>
        <w:t>Optional unit display preference.</w:t>
      </w:r>
    </w:p>
    <w:p>
      <w:r>
        <w:rPr>
          <w:rFonts w:ascii="Aptos" w:hAnsi="Aptos"/>
          <w:sz w:val="19"/>
        </w:rPr>
        <w:t>Outputs:</w:t>
      </w:r>
    </w:p>
    <w:p>
      <w:pPr>
        <w:pStyle w:val="ListBullet"/>
        <w:spacing w:after="40"/>
      </w:pPr>
      <w:r>
        <w:rPr>
          <w:rFonts w:ascii="Aptos" w:hAnsi="Aptos"/>
          <w:sz w:val="18"/>
        </w:rPr>
        <w:t>Nutrient name.</w:t>
      </w:r>
    </w:p>
    <w:p>
      <w:pPr>
        <w:pStyle w:val="ListBullet"/>
        <w:spacing w:after="40"/>
      </w:pPr>
      <w:r>
        <w:rPr>
          <w:rFonts w:ascii="Aptos" w:hAnsi="Aptos"/>
          <w:sz w:val="18"/>
        </w:rPr>
        <w:t>Value type.</w:t>
      </w:r>
    </w:p>
    <w:p>
      <w:pPr>
        <w:pStyle w:val="ListBullet"/>
        <w:spacing w:after="40"/>
      </w:pPr>
      <w:r>
        <w:rPr>
          <w:rFonts w:ascii="Aptos" w:hAnsi="Aptos"/>
          <w:sz w:val="18"/>
        </w:rPr>
        <w:t>Value or range.</w:t>
      </w:r>
    </w:p>
    <w:p>
      <w:pPr>
        <w:pStyle w:val="ListBullet"/>
        <w:spacing w:after="40"/>
      </w:pPr>
      <w:r>
        <w:rPr>
          <w:rFonts w:ascii="Aptos" w:hAnsi="Aptos"/>
          <w:sz w:val="18"/>
        </w:rPr>
        <w:t>Unit and basis.</w:t>
      </w:r>
    </w:p>
    <w:p>
      <w:pPr>
        <w:pStyle w:val="ListBullet"/>
        <w:spacing w:after="40"/>
      </w:pPr>
      <w:r>
        <w:rPr>
          <w:rFonts w:ascii="Aptos" w:hAnsi="Aptos"/>
          <w:sz w:val="18"/>
        </w:rPr>
        <w:t>Source authority and version.</w:t>
      </w:r>
    </w:p>
    <w:p>
      <w:pPr>
        <w:pStyle w:val="ListBullet"/>
        <w:spacing w:after="40"/>
      </w:pPr>
      <w:r>
        <w:rPr>
          <w:rFonts w:ascii="Aptos" w:hAnsi="Aptos"/>
          <w:sz w:val="18"/>
        </w:rPr>
        <w:t>Notes and limitations.</w:t>
      </w:r>
    </w:p>
    <w:p>
      <w:pPr>
        <w:pStyle w:val="ListBullet"/>
        <w:spacing w:after="40"/>
      </w:pPr>
      <w:r>
        <w:rPr>
          <w:rFonts w:ascii="Aptos" w:hAnsi="Aptos"/>
          <w:sz w:val="18"/>
        </w:rPr>
        <w:t>“No value established” state when applicable.</w:t>
      </w:r>
    </w:p>
    <w:p>
      <w:r>
        <w:rPr>
          <w:rFonts w:ascii="Aptos" w:hAnsi="Aptos"/>
          <w:sz w:val="19"/>
        </w:rPr>
        <w:t>Rules:</w:t>
      </w:r>
    </w:p>
    <w:p>
      <w:pPr>
        <w:pStyle w:val="ListBullet"/>
        <w:spacing w:after="40"/>
      </w:pPr>
      <w:r>
        <w:rPr>
          <w:rFonts w:ascii="Aptos" w:hAnsi="Aptos"/>
          <w:sz w:val="18"/>
        </w:rPr>
        <w:t>Do not store age, sex or life stage unless the user explicitly selects “remember on this device.”</w:t>
      </w:r>
    </w:p>
    <w:p>
      <w:pPr>
        <w:pStyle w:val="ListBullet"/>
        <w:spacing w:after="40"/>
      </w:pPr>
      <w:r>
        <w:rPr>
          <w:rFonts w:ascii="Aptos" w:hAnsi="Aptos"/>
          <w:sz w:val="18"/>
        </w:rPr>
        <w:t>Remembered values remain local.</w:t>
      </w:r>
    </w:p>
    <w:p>
      <w:pPr>
        <w:pStyle w:val="ListBullet"/>
        <w:spacing w:after="40"/>
      </w:pPr>
      <w:r>
        <w:rPr>
          <w:rFonts w:ascii="Aptos" w:hAnsi="Aptos"/>
          <w:sz w:val="18"/>
        </w:rPr>
        <w:t>Do not infer pregnancy or lactation.</w:t>
      </w:r>
    </w:p>
    <w:p>
      <w:pPr>
        <w:pStyle w:val="ListBullet"/>
        <w:spacing w:after="40"/>
      </w:pPr>
      <w:r>
        <w:rPr>
          <w:rFonts w:ascii="Aptos" w:hAnsi="Aptos"/>
          <w:sz w:val="18"/>
        </w:rPr>
        <w:t>Do not ask for medical conditions.</w:t>
      </w:r>
    </w:p>
    <w:p>
      <w:pPr>
        <w:pStyle w:val="ListBullet"/>
        <w:spacing w:after="40"/>
      </w:pPr>
      <w:r>
        <w:rPr>
          <w:rFonts w:ascii="Aptos" w:hAnsi="Aptos"/>
          <w:sz w:val="18"/>
        </w:rPr>
        <w:t>Do not transform the table into supplement doses.</w:t>
      </w:r>
    </w:p>
    <w:p>
      <w:pPr>
        <w:pStyle w:val="ListBullet"/>
        <w:spacing w:after="40"/>
      </w:pPr>
      <w:r>
        <w:rPr>
          <w:rFonts w:ascii="Aptos" w:hAnsi="Aptos"/>
          <w:sz w:val="18"/>
        </w:rPr>
        <w:t>Do not show red deficiency warnings based on food logs.</w:t>
      </w:r>
    </w:p>
    <w:p>
      <w:pPr>
        <w:pStyle w:val="Heading1"/>
      </w:pPr>
      <w:r>
        <w:t>13. Units, forms and equivalents</w:t>
      </w:r>
    </w:p>
    <w:p>
      <w:r>
        <w:rPr>
          <w:rFonts w:ascii="Aptos" w:hAnsi="Aptos"/>
          <w:sz w:val="19"/>
        </w:rPr>
        <w:t>The methodology must explain and encode:</w:t>
      </w:r>
    </w:p>
    <w:p>
      <w:pPr>
        <w:pStyle w:val="ListBullet"/>
        <w:spacing w:after="40"/>
      </w:pPr>
      <w:r>
        <w:rPr>
          <w:rFonts w:ascii="Aptos" w:hAnsi="Aptos"/>
          <w:sz w:val="18"/>
        </w:rPr>
        <w:t>kcal and kJ as energy units.</w:t>
      </w:r>
    </w:p>
    <w:p>
      <w:pPr>
        <w:pStyle w:val="ListBullet"/>
        <w:spacing w:after="40"/>
      </w:pPr>
      <w:r>
        <w:rPr>
          <w:rFonts w:ascii="Aptos" w:hAnsi="Aptos"/>
          <w:sz w:val="18"/>
        </w:rPr>
        <w:t>grams, milligrams and micrograms.</w:t>
      </w:r>
    </w:p>
    <w:p>
      <w:pPr>
        <w:pStyle w:val="ListBullet"/>
        <w:spacing w:after="40"/>
      </w:pPr>
      <w:r>
        <w:rPr>
          <w:rFonts w:ascii="Aptos" w:hAnsi="Aptos"/>
          <w:sz w:val="18"/>
        </w:rPr>
        <w:t>Vitamin A as RAE where appropriate.</w:t>
      </w:r>
    </w:p>
    <w:p>
      <w:pPr>
        <w:pStyle w:val="ListBullet"/>
        <w:spacing w:after="40"/>
      </w:pPr>
      <w:r>
        <w:rPr>
          <w:rFonts w:ascii="Aptos" w:hAnsi="Aptos"/>
          <w:sz w:val="18"/>
        </w:rPr>
        <w:t>Folate as DFE where appropriate.</w:t>
      </w:r>
    </w:p>
    <w:p>
      <w:pPr>
        <w:pStyle w:val="ListBullet"/>
        <w:spacing w:after="40"/>
      </w:pPr>
      <w:r>
        <w:rPr>
          <w:rFonts w:ascii="Aptos" w:hAnsi="Aptos"/>
          <w:sz w:val="18"/>
        </w:rPr>
        <w:t>Niacin equivalents where applicable.</w:t>
      </w:r>
    </w:p>
    <w:p>
      <w:pPr>
        <w:pStyle w:val="ListBullet"/>
        <w:spacing w:after="40"/>
      </w:pPr>
      <w:r>
        <w:rPr>
          <w:rFonts w:ascii="Aptos" w:hAnsi="Aptos"/>
          <w:sz w:val="18"/>
        </w:rPr>
        <w:t>Vitamin E as alpha-tocopherol units defined by the source framework.</w:t>
      </w:r>
    </w:p>
    <w:p>
      <w:pPr>
        <w:pStyle w:val="ListBullet"/>
        <w:spacing w:after="40"/>
      </w:pPr>
      <w:r>
        <w:rPr>
          <w:rFonts w:ascii="Aptos" w:hAnsi="Aptos"/>
          <w:sz w:val="18"/>
        </w:rPr>
        <w:t>Vitamin D microgram and IU display only through a verified conversion rule.</w:t>
      </w:r>
    </w:p>
    <w:p>
      <w:pPr>
        <w:pStyle w:val="ListBullet"/>
        <w:spacing w:after="40"/>
      </w:pPr>
      <w:r>
        <w:rPr>
          <w:rFonts w:ascii="Aptos" w:hAnsi="Aptos"/>
          <w:sz w:val="18"/>
        </w:rPr>
        <w:t>Percentage-of-energy ranges for AMDR or RI.</w:t>
      </w:r>
    </w:p>
    <w:p>
      <w:pPr>
        <w:pStyle w:val="ListBullet"/>
        <w:spacing w:after="40"/>
      </w:pPr>
      <w:r>
        <w:rPr>
          <w:rFonts w:ascii="Aptos" w:hAnsi="Aptos"/>
          <w:sz w:val="18"/>
        </w:rPr>
        <w:t>Body-weight-based values only when the source framework explicitly uses them.</w:t>
      </w:r>
    </w:p>
    <w:p>
      <w:r>
        <w:rPr>
          <w:rFonts w:ascii="Aptos" w:hAnsi="Aptos"/>
          <w:sz w:val="19"/>
        </w:rPr>
        <w:t>Never apply a conversion rule globally when the nutrient form or framework differs.</w:t>
      </w:r>
    </w:p>
    <w:p>
      <w:pPr>
        <w:pStyle w:val="Heading1"/>
      </w:pPr>
      <w:r>
        <w:t>14. Percent-reference calculations</w:t>
      </w:r>
    </w:p>
    <w:p>
      <w:r>
        <w:rPr>
          <w:rFonts w:ascii="Aptos" w:hAnsi="Aptos"/>
          <w:sz w:val="19"/>
        </w:rPr>
        <w:t>When a user selects a compatible reference value:</w:t>
      </w:r>
    </w:p>
    <w:p>
      <w:r>
        <w:rPr>
          <w:rFonts w:ascii="Liberation Mono" w:hAnsi="Liberation Mono"/>
          <w:color w:val="2D3748"/>
          <w:sz w:val="16"/>
        </w:rPr>
        <w:t>percent_reference = nutrient_amount / reference_value × 100</w:t>
      </w:r>
    </w:p>
    <w:p>
      <w:r>
        <w:rPr>
          <w:rFonts w:ascii="Aptos" w:hAnsi="Aptos"/>
          <w:sz w:val="19"/>
        </w:rPr>
        <w:t>Required conditions:</w:t>
      </w:r>
    </w:p>
    <w:p>
      <w:pPr>
        <w:pStyle w:val="ListBullet"/>
        <w:spacing w:after="40"/>
      </w:pPr>
      <w:r>
        <w:rPr>
          <w:rFonts w:ascii="Aptos" w:hAnsi="Aptos"/>
          <w:sz w:val="18"/>
        </w:rPr>
        <w:t>Same nutrient concept.</w:t>
      </w:r>
    </w:p>
    <w:p>
      <w:pPr>
        <w:pStyle w:val="ListBullet"/>
        <w:spacing w:after="40"/>
      </w:pPr>
      <w:r>
        <w:rPr>
          <w:rFonts w:ascii="Aptos" w:hAnsi="Aptos"/>
          <w:sz w:val="18"/>
        </w:rPr>
        <w:t>Compatible units.</w:t>
      </w:r>
    </w:p>
    <w:p>
      <w:pPr>
        <w:pStyle w:val="ListBullet"/>
        <w:spacing w:after="40"/>
      </w:pPr>
      <w:r>
        <w:rPr>
          <w:rFonts w:ascii="Aptos" w:hAnsi="Aptos"/>
          <w:sz w:val="18"/>
        </w:rPr>
        <w:t>Compatible equivalent system.</w:t>
      </w:r>
    </w:p>
    <w:p>
      <w:pPr>
        <w:pStyle w:val="ListBullet"/>
        <w:spacing w:after="40"/>
      </w:pPr>
      <w:r>
        <w:rPr>
          <w:rFonts w:ascii="Aptos" w:hAnsi="Aptos"/>
          <w:sz w:val="18"/>
        </w:rPr>
        <w:t>Selected reference value is numeric and applicable.</w:t>
      </w:r>
    </w:p>
    <w:p>
      <w:pPr>
        <w:pStyle w:val="ListBullet"/>
        <w:spacing w:after="40"/>
      </w:pPr>
      <w:r>
        <w:rPr>
          <w:rFonts w:ascii="Aptos" w:hAnsi="Aptos"/>
          <w:sz w:val="18"/>
        </w:rPr>
        <w:t xml:space="preserve">Food value is verified and not </w:t>
      </w:r>
      <w:r>
        <w:rPr>
          <w:rFonts w:ascii="Liberation Mono" w:hAnsi="Liberation Mono"/>
          <w:color w:val="2D3748"/>
          <w:sz w:val="16"/>
        </w:rPr>
        <w:t>not_available</w:t>
      </w:r>
      <w:r>
        <w:rPr>
          <w:rFonts w:ascii="Aptos" w:hAnsi="Aptos"/>
          <w:sz w:val="18"/>
        </w:rPr>
        <w:t>.</w:t>
      </w:r>
    </w:p>
    <w:p>
      <w:pPr>
        <w:pStyle w:val="ListBullet"/>
        <w:spacing w:after="40"/>
      </w:pPr>
      <w:r>
        <w:rPr>
          <w:rFonts w:ascii="Aptos" w:hAnsi="Aptos"/>
          <w:sz w:val="18"/>
        </w:rPr>
        <w:t>UI names the framework and population.</w:t>
      </w:r>
    </w:p>
    <w:p>
      <w:r>
        <w:rPr>
          <w:rFonts w:ascii="Aptos" w:hAnsi="Aptos"/>
          <w:sz w:val="19"/>
        </w:rPr>
        <w:t>Rules:</w:t>
      </w:r>
    </w:p>
    <w:p>
      <w:pPr>
        <w:pStyle w:val="ListBullet"/>
        <w:spacing w:after="40"/>
      </w:pPr>
      <w:r>
        <w:rPr>
          <w:rFonts w:ascii="Aptos" w:hAnsi="Aptos"/>
          <w:sz w:val="18"/>
        </w:rPr>
        <w:t>Round only for display.</w:t>
      </w:r>
    </w:p>
    <w:p>
      <w:pPr>
        <w:pStyle w:val="ListBullet"/>
        <w:spacing w:after="40"/>
      </w:pPr>
      <w:r>
        <w:rPr>
          <w:rFonts w:ascii="Aptos" w:hAnsi="Aptos"/>
          <w:sz w:val="18"/>
        </w:rPr>
        <w:t>Values above 100% are not automatically dangerous.</w:t>
      </w:r>
    </w:p>
    <w:p>
      <w:pPr>
        <w:pStyle w:val="ListBullet"/>
        <w:spacing w:after="40"/>
      </w:pPr>
      <w:r>
        <w:rPr>
          <w:rFonts w:ascii="Aptos" w:hAnsi="Aptos"/>
          <w:sz w:val="18"/>
        </w:rPr>
        <w:t>Values below 100% are not automatically deficient.</w:t>
      </w:r>
    </w:p>
    <w:p>
      <w:pPr>
        <w:pStyle w:val="ListBullet"/>
        <w:spacing w:after="40"/>
      </w:pPr>
      <w:r>
        <w:rPr>
          <w:rFonts w:ascii="Aptos" w:hAnsi="Aptos"/>
          <w:sz w:val="18"/>
        </w:rPr>
        <w:t>UL percentage must not be presented as a progress goal.</w:t>
      </w:r>
    </w:p>
    <w:p>
      <w:pPr>
        <w:pStyle w:val="ListBullet"/>
        <w:spacing w:after="40"/>
      </w:pPr>
      <w:r>
        <w:rPr>
          <w:rFonts w:ascii="Aptos" w:hAnsi="Aptos"/>
          <w:sz w:val="18"/>
        </w:rPr>
        <w:t>Do not calculate percentage for incompatible forms without an approved equivalence transformation.</w:t>
      </w:r>
    </w:p>
    <w:p>
      <w:pPr>
        <w:pStyle w:val="Heading1"/>
      </w:pPr>
      <w:r>
        <w:t>15. Phase 07 food integration</w:t>
      </w:r>
    </w:p>
    <w:p>
      <w:r>
        <w:rPr>
          <w:rFonts w:ascii="Aptos" w:hAnsi="Aptos"/>
          <w:sz w:val="19"/>
        </w:rPr>
        <w:t>Every nutrient detail page may show verified food sources from Phase 07.</w:t>
      </w:r>
    </w:p>
    <w:p>
      <w:r>
        <w:rPr>
          <w:rFonts w:ascii="Aptos" w:hAnsi="Aptos"/>
          <w:sz w:val="19"/>
        </w:rPr>
        <w:t>Required links:</w:t>
      </w:r>
    </w:p>
    <w:p>
      <w:pPr>
        <w:pStyle w:val="ListBullet"/>
        <w:spacing w:after="40"/>
      </w:pPr>
      <w:r>
        <w:rPr>
          <w:rFonts w:ascii="Aptos" w:hAnsi="Aptos"/>
          <w:sz w:val="18"/>
        </w:rPr>
        <w:t>Nutrient page to foods containing that nutrient.</w:t>
      </w:r>
    </w:p>
    <w:p>
      <w:pPr>
        <w:pStyle w:val="ListBullet"/>
        <w:spacing w:after="40"/>
      </w:pPr>
      <w:r>
        <w:rPr>
          <w:rFonts w:ascii="Aptos" w:hAnsi="Aptos"/>
          <w:sz w:val="18"/>
        </w:rPr>
        <w:t>Food detail nutrient row to the relevant nutrient page.</w:t>
      </w:r>
    </w:p>
    <w:p>
      <w:pPr>
        <w:pStyle w:val="ListBullet"/>
        <w:spacing w:after="40"/>
      </w:pPr>
      <w:r>
        <w:rPr>
          <w:rFonts w:ascii="Aptos" w:hAnsi="Aptos"/>
          <w:sz w:val="18"/>
        </w:rPr>
        <w:t>Food comparison to reference framework explanation.</w:t>
      </w:r>
    </w:p>
    <w:p>
      <w:pPr>
        <w:pStyle w:val="ListBullet"/>
        <w:spacing w:after="40"/>
      </w:pPr>
      <w:r>
        <w:rPr>
          <w:rFonts w:ascii="Aptos" w:hAnsi="Aptos"/>
          <w:sz w:val="18"/>
        </w:rPr>
        <w:t>Optional percentage reference display after the user selects a framework.</w:t>
      </w:r>
    </w:p>
    <w:p>
      <w:r>
        <w:rPr>
          <w:rFonts w:ascii="Aptos" w:hAnsi="Aptos"/>
          <w:sz w:val="19"/>
        </w:rPr>
        <w:t>A nutrient page must not hand-maintain numeric food tables when the same values exist in Phase 07. Use Phase 07 as the composition source of truth.</w:t>
      </w:r>
    </w:p>
    <w:p>
      <w:pPr>
        <w:pStyle w:val="Heading1"/>
      </w:pPr>
      <w:r>
        <w:t>16. Food-source ranking</w:t>
      </w:r>
    </w:p>
    <w:p>
      <w:r>
        <w:rPr>
          <w:rFonts w:ascii="Aptos" w:hAnsi="Aptos"/>
          <w:sz w:val="19"/>
        </w:rPr>
        <w:t>The interface may rank verified foods by:</w:t>
      </w:r>
    </w:p>
    <w:p>
      <w:pPr>
        <w:pStyle w:val="ListBullet"/>
        <w:spacing w:after="40"/>
      </w:pPr>
      <w:r>
        <w:rPr>
          <w:rFonts w:ascii="Aptos" w:hAnsi="Aptos"/>
          <w:sz w:val="18"/>
        </w:rPr>
        <w:t>Amount per 100 g.</w:t>
      </w:r>
    </w:p>
    <w:p>
      <w:pPr>
        <w:pStyle w:val="ListBullet"/>
        <w:spacing w:after="40"/>
      </w:pPr>
      <w:r>
        <w:rPr>
          <w:rFonts w:ascii="Aptos" w:hAnsi="Aptos"/>
          <w:sz w:val="18"/>
        </w:rPr>
        <w:t>Amount per 100 kcal.</w:t>
      </w:r>
    </w:p>
    <w:p>
      <w:pPr>
        <w:pStyle w:val="ListBullet"/>
        <w:spacing w:after="40"/>
      </w:pPr>
      <w:r>
        <w:rPr>
          <w:rFonts w:ascii="Aptos" w:hAnsi="Aptos"/>
          <w:sz w:val="18"/>
        </w:rPr>
        <w:t>Amount per verified household portion.</w:t>
      </w:r>
    </w:p>
    <w:p>
      <w:r>
        <w:rPr>
          <w:rFonts w:ascii="Aptos" w:hAnsi="Aptos"/>
          <w:sz w:val="19"/>
        </w:rPr>
        <w:t>Ranking controls must expose the selected basis.</w:t>
      </w:r>
    </w:p>
    <w:p>
      <w:r>
        <w:rPr>
          <w:rFonts w:ascii="Aptos" w:hAnsi="Aptos"/>
          <w:sz w:val="19"/>
        </w:rPr>
        <w:t>Required safeguards:</w:t>
      </w:r>
    </w:p>
    <w:p>
      <w:pPr>
        <w:pStyle w:val="ListBullet"/>
        <w:spacing w:after="40"/>
      </w:pPr>
      <w:r>
        <w:rPr>
          <w:rFonts w:ascii="Aptos" w:hAnsi="Aptos"/>
          <w:sz w:val="18"/>
        </w:rPr>
        <w:t xml:space="preserve">Exclude </w:t>
      </w:r>
      <w:r>
        <w:rPr>
          <w:rFonts w:ascii="Liberation Mono" w:hAnsi="Liberation Mono"/>
          <w:color w:val="2D3748"/>
          <w:sz w:val="16"/>
        </w:rPr>
        <w:t>not_available</w:t>
      </w:r>
      <w:r>
        <w:rPr>
          <w:rFonts w:ascii="Aptos" w:hAnsi="Aptos"/>
          <w:sz w:val="18"/>
        </w:rPr>
        <w:t xml:space="preserve"> rather than treating it as zero.</w:t>
      </w:r>
    </w:p>
    <w:p>
      <w:pPr>
        <w:pStyle w:val="ListBullet"/>
        <w:spacing w:after="40"/>
      </w:pPr>
      <w:r>
        <w:rPr>
          <w:rFonts w:ascii="Aptos" w:hAnsi="Aptos"/>
          <w:sz w:val="18"/>
        </w:rPr>
        <w:t>Allow users to exclude estimated or imputed values.</w:t>
      </w:r>
    </w:p>
    <w:p>
      <w:pPr>
        <w:pStyle w:val="ListBullet"/>
        <w:spacing w:after="40"/>
      </w:pPr>
      <w:r>
        <w:rPr>
          <w:rFonts w:ascii="Aptos" w:hAnsi="Aptos"/>
          <w:sz w:val="18"/>
        </w:rPr>
        <w:t>Preserve raw/cooked profile labels.</w:t>
      </w:r>
    </w:p>
    <w:p>
      <w:pPr>
        <w:pStyle w:val="ListBullet"/>
        <w:spacing w:after="40"/>
      </w:pPr>
      <w:r>
        <w:rPr>
          <w:rFonts w:ascii="Aptos" w:hAnsi="Aptos"/>
          <w:sz w:val="18"/>
        </w:rPr>
        <w:t>Show source release.</w:t>
      </w:r>
    </w:p>
    <w:p>
      <w:pPr>
        <w:pStyle w:val="ListBullet"/>
        <w:spacing w:after="40"/>
      </w:pPr>
      <w:r>
        <w:rPr>
          <w:rFonts w:ascii="Aptos" w:hAnsi="Aptos"/>
          <w:sz w:val="18"/>
        </w:rPr>
        <w:t>Do not rank incompatible forms as identical totals.</w:t>
      </w:r>
    </w:p>
    <w:p>
      <w:pPr>
        <w:pStyle w:val="ListBullet"/>
        <w:spacing w:after="40"/>
      </w:pPr>
      <w:r>
        <w:rPr>
          <w:rFonts w:ascii="Aptos" w:hAnsi="Aptos"/>
          <w:sz w:val="18"/>
        </w:rPr>
        <w:t>Do not call the first result “the best source.”</w:t>
      </w:r>
    </w:p>
    <w:p>
      <w:pPr>
        <w:pStyle w:val="ListBullet"/>
        <w:spacing w:after="40"/>
      </w:pPr>
      <w:r>
        <w:rPr>
          <w:rFonts w:ascii="Aptos" w:hAnsi="Aptos"/>
          <w:sz w:val="18"/>
        </w:rPr>
        <w:t>Explain that absorption and typical serving size may change practical contribution.</w:t>
      </w:r>
    </w:p>
    <w:p>
      <w:pPr>
        <w:pStyle w:val="Heading1"/>
      </w:pPr>
      <w:r>
        <w:t>17. Nutrient catalogue UX</w:t>
      </w:r>
    </w:p>
    <w:p>
      <w:r>
        <w:rPr>
          <w:rFonts w:ascii="Aptos" w:hAnsi="Aptos"/>
          <w:sz w:val="19"/>
        </w:rPr>
        <w:t xml:space="preserve">The </w:t>
      </w:r>
      <w:r>
        <w:rPr>
          <w:rFonts w:ascii="Liberation Mono" w:hAnsi="Liberation Mono"/>
          <w:color w:val="2D3748"/>
          <w:sz w:val="16"/>
        </w:rPr>
        <w:t>/nutrients</w:t>
      </w:r>
      <w:r>
        <w:rPr>
          <w:rFonts w:ascii="Aptos" w:hAnsi="Aptos"/>
          <w:sz w:val="19"/>
        </w:rPr>
        <w:t xml:space="preserve"> catalogue must provide:</w:t>
      </w:r>
    </w:p>
    <w:p>
      <w:pPr>
        <w:pStyle w:val="ListBullet"/>
        <w:spacing w:after="40"/>
      </w:pPr>
      <w:r>
        <w:rPr>
          <w:rFonts w:ascii="Aptos" w:hAnsi="Aptos"/>
          <w:sz w:val="18"/>
        </w:rPr>
        <w:t>Search by name, alias and common abbreviation.</w:t>
      </w:r>
    </w:p>
    <w:p>
      <w:pPr>
        <w:pStyle w:val="ListBullet"/>
        <w:spacing w:after="40"/>
      </w:pPr>
      <w:r>
        <w:rPr>
          <w:rFonts w:ascii="Aptos" w:hAnsi="Aptos"/>
          <w:sz w:val="18"/>
        </w:rPr>
        <w:t>Group filter.</w:t>
      </w:r>
    </w:p>
    <w:p>
      <w:pPr>
        <w:pStyle w:val="ListBullet"/>
        <w:spacing w:after="40"/>
      </w:pPr>
      <w:r>
        <w:rPr>
          <w:rFonts w:ascii="Aptos" w:hAnsi="Aptos"/>
          <w:sz w:val="18"/>
        </w:rPr>
        <w:t>Essentiality filter.</w:t>
      </w:r>
    </w:p>
    <w:p>
      <w:pPr>
        <w:pStyle w:val="ListBullet"/>
        <w:spacing w:after="40"/>
      </w:pPr>
      <w:r>
        <w:rPr>
          <w:rFonts w:ascii="Aptos" w:hAnsi="Aptos"/>
          <w:sz w:val="18"/>
        </w:rPr>
        <w:t>Reference-framework availability filter.</w:t>
      </w:r>
    </w:p>
    <w:p>
      <w:pPr>
        <w:pStyle w:val="ListBullet"/>
        <w:spacing w:after="40"/>
      </w:pPr>
      <w:r>
        <w:rPr>
          <w:rFonts w:ascii="Aptos" w:hAnsi="Aptos"/>
          <w:sz w:val="18"/>
        </w:rPr>
        <w:t>Phase 07 food-data availability filter.</w:t>
      </w:r>
    </w:p>
    <w:p>
      <w:pPr>
        <w:pStyle w:val="ListBullet"/>
        <w:spacing w:after="40"/>
      </w:pPr>
      <w:r>
        <w:rPr>
          <w:rFonts w:ascii="Aptos" w:hAnsi="Aptos"/>
          <w:sz w:val="18"/>
        </w:rPr>
        <w:t>Published-content filter for internal review mode.</w:t>
      </w:r>
    </w:p>
    <w:p>
      <w:pPr>
        <w:pStyle w:val="ListBullet"/>
        <w:spacing w:after="40"/>
      </w:pPr>
      <w:r>
        <w:rPr>
          <w:rFonts w:ascii="Aptos" w:hAnsi="Aptos"/>
          <w:sz w:val="18"/>
        </w:rPr>
        <w:t>Alphabetical sorting.</w:t>
      </w:r>
    </w:p>
    <w:p>
      <w:pPr>
        <w:pStyle w:val="ListBullet"/>
        <w:spacing w:after="40"/>
      </w:pPr>
      <w:r>
        <w:rPr>
          <w:rFonts w:ascii="Aptos" w:hAnsi="Aptos"/>
          <w:sz w:val="18"/>
        </w:rPr>
        <w:t>Optional sort by group.</w:t>
      </w:r>
    </w:p>
    <w:p>
      <w:pPr>
        <w:pStyle w:val="ListBullet"/>
        <w:spacing w:after="40"/>
      </w:pPr>
      <w:r>
        <w:rPr>
          <w:rFonts w:ascii="Aptos" w:hAnsi="Aptos"/>
          <w:sz w:val="18"/>
        </w:rPr>
        <w:t>URL-persisted filters.</w:t>
      </w:r>
    </w:p>
    <w:p>
      <w:pPr>
        <w:pStyle w:val="ListBullet"/>
        <w:spacing w:after="40"/>
      </w:pPr>
      <w:r>
        <w:rPr>
          <w:rFonts w:ascii="Aptos" w:hAnsi="Aptos"/>
          <w:sz w:val="18"/>
        </w:rPr>
        <w:t>Clear-all action and result count.</w:t>
      </w:r>
    </w:p>
    <w:p>
      <w:r>
        <w:rPr>
          <w:rFonts w:ascii="Aptos" w:hAnsi="Aptos"/>
          <w:sz w:val="19"/>
        </w:rPr>
        <w:t>Cards or rows show:</w:t>
      </w:r>
    </w:p>
    <w:p>
      <w:pPr>
        <w:pStyle w:val="ListBullet"/>
        <w:spacing w:after="40"/>
      </w:pPr>
      <w:r>
        <w:rPr>
          <w:rFonts w:ascii="Aptos" w:hAnsi="Aptos"/>
          <w:sz w:val="18"/>
        </w:rPr>
        <w:t>Nutrient name.</w:t>
      </w:r>
    </w:p>
    <w:p>
      <w:pPr>
        <w:pStyle w:val="ListBullet"/>
        <w:spacing w:after="40"/>
      </w:pPr>
      <w:r>
        <w:rPr>
          <w:rFonts w:ascii="Aptos" w:hAnsi="Aptos"/>
          <w:sz w:val="18"/>
        </w:rPr>
        <w:t>Common alias.</w:t>
      </w:r>
    </w:p>
    <w:p>
      <w:pPr>
        <w:pStyle w:val="ListBullet"/>
        <w:spacing w:after="40"/>
      </w:pPr>
      <w:r>
        <w:rPr>
          <w:rFonts w:ascii="Aptos" w:hAnsi="Aptos"/>
          <w:sz w:val="18"/>
        </w:rPr>
        <w:t>Group.</w:t>
      </w:r>
    </w:p>
    <w:p>
      <w:pPr>
        <w:pStyle w:val="ListBullet"/>
        <w:spacing w:after="40"/>
      </w:pPr>
      <w:r>
        <w:rPr>
          <w:rFonts w:ascii="Aptos" w:hAnsi="Aptos"/>
          <w:sz w:val="18"/>
        </w:rPr>
        <w:t>Canonical unit.</w:t>
      </w:r>
    </w:p>
    <w:p>
      <w:pPr>
        <w:pStyle w:val="ListBullet"/>
        <w:spacing w:after="40"/>
      </w:pPr>
      <w:r>
        <w:rPr>
          <w:rFonts w:ascii="Aptos" w:hAnsi="Aptos"/>
          <w:sz w:val="18"/>
        </w:rPr>
        <w:t>Reference-value availability.</w:t>
      </w:r>
    </w:p>
    <w:p>
      <w:pPr>
        <w:pStyle w:val="ListBullet"/>
        <w:spacing w:after="40"/>
      </w:pPr>
      <w:r>
        <w:rPr>
          <w:rFonts w:ascii="Aptos" w:hAnsi="Aptos"/>
          <w:sz w:val="18"/>
        </w:rPr>
        <w:t>Verified food-link availability.</w:t>
      </w:r>
    </w:p>
    <w:p>
      <w:pPr>
        <w:pStyle w:val="ListBullet"/>
        <w:spacing w:after="40"/>
      </w:pPr>
      <w:r>
        <w:rPr>
          <w:rFonts w:ascii="Aptos" w:hAnsi="Aptos"/>
          <w:sz w:val="18"/>
        </w:rPr>
        <w:t>Content review status in development mode only.</w:t>
      </w:r>
    </w:p>
    <w:p>
      <w:pPr>
        <w:pStyle w:val="Heading1"/>
      </w:pPr>
      <w:r>
        <w:t>18. Nutrient detail page</w:t>
      </w:r>
    </w:p>
    <w:p>
      <w:r>
        <w:rPr>
          <w:rFonts w:ascii="Aptos" w:hAnsi="Aptos"/>
          <w:sz w:val="19"/>
        </w:rPr>
        <w:t>Required sections:</w:t>
      </w:r>
    </w:p>
    <w:p>
      <w:pPr>
        <w:spacing w:after="40"/>
        <w:ind w:left="403" w:hanging="403"/>
      </w:pPr>
      <w:r>
        <w:rPr>
          <w:rFonts w:ascii="Aptos" w:hAnsi="Aptos"/>
          <w:color w:val="2D3741"/>
          <w:sz w:val="18"/>
        </w:rPr>
        <w:t xml:space="preserve">1. </w:t>
      </w:r>
      <w:r>
        <w:rPr>
          <w:rFonts w:ascii="Aptos" w:hAnsi="Aptos"/>
          <w:sz w:val="18"/>
        </w:rPr>
        <w:t>Breadcrumbs.</w:t>
      </w:r>
    </w:p>
    <w:p>
      <w:pPr>
        <w:spacing w:after="40"/>
        <w:ind w:left="403" w:hanging="403"/>
      </w:pPr>
      <w:r>
        <w:rPr>
          <w:rFonts w:ascii="Aptos" w:hAnsi="Aptos"/>
          <w:color w:val="2D3741"/>
          <w:sz w:val="18"/>
        </w:rPr>
        <w:t xml:space="preserve">2. </w:t>
      </w:r>
      <w:r>
        <w:rPr>
          <w:rFonts w:ascii="Aptos" w:hAnsi="Aptos"/>
          <w:sz w:val="18"/>
        </w:rPr>
        <w:t>Canonical name, aliases and group.</w:t>
      </w:r>
    </w:p>
    <w:p>
      <w:pPr>
        <w:spacing w:after="40"/>
        <w:ind w:left="403" w:hanging="403"/>
      </w:pPr>
      <w:r>
        <w:rPr>
          <w:rFonts w:ascii="Aptos" w:hAnsi="Aptos"/>
          <w:color w:val="2D3741"/>
          <w:sz w:val="18"/>
        </w:rPr>
        <w:t xml:space="preserve">3. </w:t>
      </w:r>
      <w:r>
        <w:rPr>
          <w:rFonts w:ascii="Aptos" w:hAnsi="Aptos"/>
          <w:sz w:val="18"/>
        </w:rPr>
        <w:t>Plain-language overview.</w:t>
      </w:r>
    </w:p>
    <w:p>
      <w:pPr>
        <w:spacing w:after="40"/>
        <w:ind w:left="403" w:hanging="403"/>
      </w:pPr>
      <w:r>
        <w:rPr>
          <w:rFonts w:ascii="Aptos" w:hAnsi="Aptos"/>
          <w:color w:val="2D3741"/>
          <w:sz w:val="18"/>
        </w:rPr>
        <w:t xml:space="preserve">4. </w:t>
      </w:r>
      <w:r>
        <w:rPr>
          <w:rFonts w:ascii="Aptos" w:hAnsi="Aptos"/>
          <w:sz w:val="18"/>
        </w:rPr>
        <w:t>Essentiality and dietary-component classification.</w:t>
      </w:r>
    </w:p>
    <w:p>
      <w:pPr>
        <w:spacing w:after="40"/>
        <w:ind w:left="403" w:hanging="403"/>
      </w:pPr>
      <w:r>
        <w:rPr>
          <w:rFonts w:ascii="Aptos" w:hAnsi="Aptos"/>
          <w:color w:val="2D3741"/>
          <w:sz w:val="18"/>
        </w:rPr>
        <w:t xml:space="preserve">5. </w:t>
      </w:r>
      <w:r>
        <w:rPr>
          <w:rFonts w:ascii="Aptos" w:hAnsi="Aptos"/>
          <w:sz w:val="18"/>
        </w:rPr>
        <w:t>Forms and equivalent systems.</w:t>
      </w:r>
    </w:p>
    <w:p>
      <w:pPr>
        <w:spacing w:after="40"/>
        <w:ind w:left="403" w:hanging="403"/>
      </w:pPr>
      <w:r>
        <w:rPr>
          <w:rFonts w:ascii="Aptos" w:hAnsi="Aptos"/>
          <w:color w:val="2D3741"/>
          <w:sz w:val="18"/>
        </w:rPr>
        <w:t xml:space="preserve">6. </w:t>
      </w:r>
      <w:r>
        <w:rPr>
          <w:rFonts w:ascii="Aptos" w:hAnsi="Aptos"/>
          <w:sz w:val="18"/>
        </w:rPr>
        <w:t>Core functions.</w:t>
      </w:r>
    </w:p>
    <w:p>
      <w:pPr>
        <w:spacing w:after="40"/>
        <w:ind w:left="403" w:hanging="403"/>
      </w:pPr>
      <w:r>
        <w:rPr>
          <w:rFonts w:ascii="Aptos" w:hAnsi="Aptos"/>
          <w:color w:val="2D3741"/>
          <w:sz w:val="18"/>
        </w:rPr>
        <w:t xml:space="preserve">7. </w:t>
      </w:r>
      <w:r>
        <w:rPr>
          <w:rFonts w:ascii="Aptos" w:hAnsi="Aptos"/>
          <w:sz w:val="18"/>
        </w:rPr>
        <w:t>Reference intake table with framework selector.</w:t>
      </w:r>
    </w:p>
    <w:p>
      <w:pPr>
        <w:spacing w:after="40"/>
        <w:ind w:left="403" w:hanging="403"/>
      </w:pPr>
      <w:r>
        <w:rPr>
          <w:rFonts w:ascii="Aptos" w:hAnsi="Aptos"/>
          <w:color w:val="2D3741"/>
          <w:sz w:val="18"/>
        </w:rPr>
        <w:t xml:space="preserve">8. </w:t>
      </w:r>
      <w:r>
        <w:rPr>
          <w:rFonts w:ascii="Aptos" w:hAnsi="Aptos"/>
          <w:sz w:val="18"/>
        </w:rPr>
        <w:t>Food-source explorer.</w:t>
      </w:r>
    </w:p>
    <w:p>
      <w:pPr>
        <w:spacing w:after="40"/>
        <w:ind w:left="403" w:hanging="403"/>
      </w:pPr>
      <w:r>
        <w:rPr>
          <w:rFonts w:ascii="Aptos" w:hAnsi="Aptos"/>
          <w:color w:val="2D3741"/>
          <w:sz w:val="18"/>
        </w:rPr>
        <w:t xml:space="preserve">9. </w:t>
      </w:r>
      <w:r>
        <w:rPr>
          <w:rFonts w:ascii="Aptos" w:hAnsi="Aptos"/>
          <w:sz w:val="18"/>
        </w:rPr>
        <w:t>Absorption and bioavailability.</w:t>
      </w:r>
    </w:p>
    <w:p>
      <w:pPr>
        <w:spacing w:after="40"/>
        <w:ind w:left="403" w:hanging="403"/>
      </w:pPr>
      <w:r>
        <w:rPr>
          <w:rFonts w:ascii="Aptos" w:hAnsi="Aptos"/>
          <w:color w:val="2D3741"/>
          <w:sz w:val="18"/>
        </w:rPr>
        <w:t xml:space="preserve">10. </w:t>
      </w:r>
      <w:r>
        <w:rPr>
          <w:rFonts w:ascii="Aptos" w:hAnsi="Aptos"/>
          <w:sz w:val="18"/>
        </w:rPr>
        <w:t>Deficiency overview and risk groups.</w:t>
      </w:r>
    </w:p>
    <w:p>
      <w:pPr>
        <w:spacing w:after="40"/>
        <w:ind w:left="403" w:hanging="403"/>
      </w:pPr>
      <w:r>
        <w:rPr>
          <w:rFonts w:ascii="Aptos" w:hAnsi="Aptos"/>
          <w:color w:val="2D3741"/>
          <w:sz w:val="18"/>
        </w:rPr>
        <w:t xml:space="preserve">11. </w:t>
      </w:r>
      <w:r>
        <w:rPr>
          <w:rFonts w:ascii="Aptos" w:hAnsi="Aptos"/>
          <w:sz w:val="18"/>
        </w:rPr>
        <w:t>Excess intake and upper-limit context.</w:t>
      </w:r>
    </w:p>
    <w:p>
      <w:pPr>
        <w:spacing w:after="40"/>
        <w:ind w:left="403" w:hanging="403"/>
      </w:pPr>
      <w:r>
        <w:rPr>
          <w:rFonts w:ascii="Aptos" w:hAnsi="Aptos"/>
          <w:color w:val="2D3741"/>
          <w:sz w:val="18"/>
        </w:rPr>
        <w:t xml:space="preserve">12. </w:t>
      </w:r>
      <w:r>
        <w:rPr>
          <w:rFonts w:ascii="Aptos" w:hAnsi="Aptos"/>
          <w:sz w:val="18"/>
        </w:rPr>
        <w:t>Interactions.</w:t>
      </w:r>
    </w:p>
    <w:p>
      <w:pPr>
        <w:spacing w:after="40"/>
        <w:ind w:left="403" w:hanging="403"/>
      </w:pPr>
      <w:r>
        <w:rPr>
          <w:rFonts w:ascii="Aptos" w:hAnsi="Aptos"/>
          <w:color w:val="2D3741"/>
          <w:sz w:val="18"/>
        </w:rPr>
        <w:t xml:space="preserve">13. </w:t>
      </w:r>
      <w:r>
        <w:rPr>
          <w:rFonts w:ascii="Aptos" w:hAnsi="Aptos"/>
          <w:sz w:val="18"/>
        </w:rPr>
        <w:t>Training relevance.</w:t>
      </w:r>
    </w:p>
    <w:p>
      <w:pPr>
        <w:spacing w:after="40"/>
        <w:ind w:left="403" w:hanging="403"/>
      </w:pPr>
      <w:r>
        <w:rPr>
          <w:rFonts w:ascii="Aptos" w:hAnsi="Aptos"/>
          <w:color w:val="2D3741"/>
          <w:sz w:val="18"/>
        </w:rPr>
        <w:t xml:space="preserve">14. </w:t>
      </w:r>
      <w:r>
        <w:rPr>
          <w:rFonts w:ascii="Aptos" w:hAnsi="Aptos"/>
          <w:sz w:val="18"/>
        </w:rPr>
        <w:t>Vegetarian, vegan and Indian-diet considerations.</w:t>
      </w:r>
    </w:p>
    <w:p>
      <w:pPr>
        <w:spacing w:after="40"/>
        <w:ind w:left="403" w:hanging="403"/>
      </w:pPr>
      <w:r>
        <w:rPr>
          <w:rFonts w:ascii="Aptos" w:hAnsi="Aptos"/>
          <w:color w:val="2D3741"/>
          <w:sz w:val="18"/>
        </w:rPr>
        <w:t xml:space="preserve">15. </w:t>
      </w:r>
      <w:r>
        <w:rPr>
          <w:rFonts w:ascii="Aptos" w:hAnsi="Aptos"/>
          <w:sz w:val="18"/>
        </w:rPr>
        <w:t>Sources, review date and limitations.</w:t>
      </w:r>
    </w:p>
    <w:p>
      <w:pPr>
        <w:spacing w:after="40"/>
        <w:ind w:left="403" w:hanging="403"/>
      </w:pPr>
      <w:r>
        <w:rPr>
          <w:rFonts w:ascii="Aptos" w:hAnsi="Aptos"/>
          <w:color w:val="2D3741"/>
          <w:sz w:val="18"/>
        </w:rPr>
        <w:t xml:space="preserve">16. </w:t>
      </w:r>
      <w:r>
        <w:rPr>
          <w:rFonts w:ascii="Aptos" w:hAnsi="Aptos"/>
          <w:sz w:val="18"/>
        </w:rPr>
        <w:t>Related nutrients and foods.</w:t>
      </w:r>
    </w:p>
    <w:p>
      <w:r>
        <w:rPr>
          <w:rFonts w:ascii="Aptos" w:hAnsi="Aptos"/>
          <w:sz w:val="19"/>
        </w:rPr>
        <w:t>Medical content must use neutral educational styling, not alarmist red banners.</w:t>
      </w:r>
    </w:p>
    <w:p>
      <w:pPr>
        <w:pStyle w:val="Heading1"/>
      </w:pPr>
      <w:r>
        <w:t>19. Nutrient comparison</w:t>
      </w:r>
    </w:p>
    <w:p>
      <w:r>
        <w:rPr>
          <w:rFonts w:ascii="Aptos" w:hAnsi="Aptos"/>
          <w:sz w:val="19"/>
        </w:rPr>
        <w:t>The comparison route supports two to four nutrient topics.</w:t>
      </w:r>
    </w:p>
    <w:p>
      <w:r>
        <w:rPr>
          <w:rFonts w:ascii="Aptos" w:hAnsi="Aptos"/>
          <w:sz w:val="19"/>
        </w:rPr>
        <w:t>Useful comparison fields:</w:t>
      </w:r>
    </w:p>
    <w:p>
      <w:pPr>
        <w:pStyle w:val="ListBullet"/>
        <w:spacing w:after="40"/>
      </w:pPr>
      <w:r>
        <w:rPr>
          <w:rFonts w:ascii="Aptos" w:hAnsi="Aptos"/>
          <w:sz w:val="18"/>
        </w:rPr>
        <w:t>Classification.</w:t>
      </w:r>
    </w:p>
    <w:p>
      <w:pPr>
        <w:pStyle w:val="ListBullet"/>
        <w:spacing w:after="40"/>
      </w:pPr>
      <w:r>
        <w:rPr>
          <w:rFonts w:ascii="Aptos" w:hAnsi="Aptos"/>
          <w:sz w:val="18"/>
        </w:rPr>
        <w:t>Primary functions.</w:t>
      </w:r>
    </w:p>
    <w:p>
      <w:pPr>
        <w:pStyle w:val="ListBullet"/>
        <w:spacing w:after="40"/>
      </w:pPr>
      <w:r>
        <w:rPr>
          <w:rFonts w:ascii="Aptos" w:hAnsi="Aptos"/>
          <w:sz w:val="18"/>
        </w:rPr>
        <w:t>Canonical units.</w:t>
      </w:r>
    </w:p>
    <w:p>
      <w:pPr>
        <w:pStyle w:val="ListBullet"/>
        <w:spacing w:after="40"/>
      </w:pPr>
      <w:r>
        <w:rPr>
          <w:rFonts w:ascii="Aptos" w:hAnsi="Aptos"/>
          <w:sz w:val="18"/>
        </w:rPr>
        <w:t>Forms and equivalence systems.</w:t>
      </w:r>
    </w:p>
    <w:p>
      <w:pPr>
        <w:pStyle w:val="ListBullet"/>
        <w:spacing w:after="40"/>
      </w:pPr>
      <w:r>
        <w:rPr>
          <w:rFonts w:ascii="Aptos" w:hAnsi="Aptos"/>
          <w:sz w:val="18"/>
        </w:rPr>
        <w:t>Reference-value types available.</w:t>
      </w:r>
    </w:p>
    <w:p>
      <w:pPr>
        <w:pStyle w:val="ListBullet"/>
        <w:spacing w:after="40"/>
      </w:pPr>
      <w:r>
        <w:rPr>
          <w:rFonts w:ascii="Aptos" w:hAnsi="Aptos"/>
          <w:sz w:val="18"/>
        </w:rPr>
        <w:t>Deficiency-risk groups.</w:t>
      </w:r>
    </w:p>
    <w:p>
      <w:pPr>
        <w:pStyle w:val="ListBullet"/>
        <w:spacing w:after="40"/>
      </w:pPr>
      <w:r>
        <w:rPr>
          <w:rFonts w:ascii="Aptos" w:hAnsi="Aptos"/>
          <w:sz w:val="18"/>
        </w:rPr>
        <w:t>Excess and UL availability.</w:t>
      </w:r>
    </w:p>
    <w:p>
      <w:pPr>
        <w:pStyle w:val="ListBullet"/>
        <w:spacing w:after="40"/>
      </w:pPr>
      <w:r>
        <w:rPr>
          <w:rFonts w:ascii="Aptos" w:hAnsi="Aptos"/>
          <w:sz w:val="18"/>
        </w:rPr>
        <w:t>Important interactions.</w:t>
      </w:r>
    </w:p>
    <w:p>
      <w:pPr>
        <w:pStyle w:val="ListBullet"/>
        <w:spacing w:after="40"/>
      </w:pPr>
      <w:r>
        <w:rPr>
          <w:rFonts w:ascii="Aptos" w:hAnsi="Aptos"/>
          <w:sz w:val="18"/>
        </w:rPr>
        <w:t>Food-data coverage.</w:t>
      </w:r>
    </w:p>
    <w:p>
      <w:r>
        <w:rPr>
          <w:rFonts w:ascii="Aptos" w:hAnsi="Aptos"/>
          <w:sz w:val="19"/>
        </w:rPr>
        <w:t>Do not compare unlike units numerically as if one nutrient were “larger” or more important.</w:t>
      </w:r>
    </w:p>
    <w:p>
      <w:pPr>
        <w:pStyle w:val="Heading1"/>
      </w:pPr>
      <w:r>
        <w:t>20. Functions and claims</w:t>
      </w:r>
    </w:p>
    <w:p>
      <w:r>
        <w:rPr>
          <w:rFonts w:ascii="Aptos" w:hAnsi="Aptos"/>
          <w:sz w:val="19"/>
        </w:rPr>
        <w:t>Functions must be concise and source-backed.</w:t>
      </w:r>
    </w:p>
    <w:p>
      <w:r>
        <w:rPr>
          <w:rFonts w:ascii="Aptos" w:hAnsi="Aptos"/>
          <w:sz w:val="19"/>
        </w:rPr>
        <w:t>Each material claim requires:</w:t>
      </w:r>
    </w:p>
    <w:p>
      <w:pPr>
        <w:pStyle w:val="ListBullet"/>
        <w:spacing w:after="40"/>
      </w:pPr>
      <w:r>
        <w:rPr>
          <w:rFonts w:ascii="Aptos" w:hAnsi="Aptos"/>
          <w:sz w:val="18"/>
        </w:rPr>
        <w:t>Claim ID.</w:t>
      </w:r>
    </w:p>
    <w:p>
      <w:pPr>
        <w:pStyle w:val="ListBullet"/>
        <w:spacing w:after="40"/>
      </w:pPr>
      <w:r>
        <w:rPr>
          <w:rFonts w:ascii="Aptos" w:hAnsi="Aptos"/>
          <w:sz w:val="18"/>
        </w:rPr>
        <w:t>Exact claim text.</w:t>
      </w:r>
    </w:p>
    <w:p>
      <w:pPr>
        <w:pStyle w:val="ListBullet"/>
        <w:spacing w:after="40"/>
      </w:pPr>
      <w:r>
        <w:rPr>
          <w:rFonts w:ascii="Aptos" w:hAnsi="Aptos"/>
          <w:sz w:val="18"/>
        </w:rPr>
        <w:t>Category.</w:t>
      </w:r>
    </w:p>
    <w:p>
      <w:pPr>
        <w:pStyle w:val="ListBullet"/>
        <w:spacing w:after="40"/>
      </w:pPr>
      <w:r>
        <w:rPr>
          <w:rFonts w:ascii="Aptos" w:hAnsi="Aptos"/>
          <w:sz w:val="18"/>
        </w:rPr>
        <w:t>Applicable population.</w:t>
      </w:r>
    </w:p>
    <w:p>
      <w:pPr>
        <w:pStyle w:val="ListBullet"/>
        <w:spacing w:after="40"/>
      </w:pPr>
      <w:r>
        <w:rPr>
          <w:rFonts w:ascii="Aptos" w:hAnsi="Aptos"/>
          <w:sz w:val="18"/>
        </w:rPr>
        <w:t>Evidence level.</w:t>
      </w:r>
    </w:p>
    <w:p>
      <w:pPr>
        <w:pStyle w:val="ListBullet"/>
        <w:spacing w:after="40"/>
      </w:pPr>
      <w:r>
        <w:rPr>
          <w:rFonts w:ascii="Aptos" w:hAnsi="Aptos"/>
          <w:sz w:val="18"/>
        </w:rPr>
        <w:t>Source IDs.</w:t>
      </w:r>
    </w:p>
    <w:p>
      <w:pPr>
        <w:pStyle w:val="ListBullet"/>
        <w:spacing w:after="40"/>
      </w:pPr>
      <w:r>
        <w:rPr>
          <w:rFonts w:ascii="Aptos" w:hAnsi="Aptos"/>
          <w:sz w:val="18"/>
        </w:rPr>
        <w:t>Limitations.</w:t>
      </w:r>
    </w:p>
    <w:p>
      <w:pPr>
        <w:pStyle w:val="ListBullet"/>
        <w:spacing w:after="40"/>
      </w:pPr>
      <w:r>
        <w:rPr>
          <w:rFonts w:ascii="Aptos" w:hAnsi="Aptos"/>
          <w:sz w:val="18"/>
        </w:rPr>
        <w:t>Review status.</w:t>
      </w:r>
    </w:p>
    <w:p>
      <w:r>
        <w:rPr>
          <w:rFonts w:ascii="Aptos" w:hAnsi="Aptos"/>
          <w:sz w:val="19"/>
        </w:rPr>
        <w:t>Avoid vague claims such as “boosts immunity,” “detoxifies,” “burns fat” or “increases testosterone” unless the exact context and evidence support the wording.</w:t>
      </w:r>
    </w:p>
    <w:p>
      <w:pPr>
        <w:pStyle w:val="Heading1"/>
      </w:pPr>
      <w:r>
        <w:t>21. Absorption and bioavailability</w:t>
      </w:r>
    </w:p>
    <w:p>
      <w:r>
        <w:rPr>
          <w:rFonts w:ascii="Aptos" w:hAnsi="Aptos"/>
          <w:sz w:val="19"/>
        </w:rPr>
        <w:t>Possible factors include:</w:t>
      </w:r>
    </w:p>
    <w:p>
      <w:pPr>
        <w:pStyle w:val="ListBullet"/>
        <w:spacing w:after="40"/>
      </w:pPr>
      <w:r>
        <w:rPr>
          <w:rFonts w:ascii="Aptos" w:hAnsi="Aptos"/>
          <w:sz w:val="18"/>
        </w:rPr>
        <w:t>Nutrient form.</w:t>
      </w:r>
    </w:p>
    <w:p>
      <w:pPr>
        <w:pStyle w:val="ListBullet"/>
        <w:spacing w:after="40"/>
      </w:pPr>
      <w:r>
        <w:rPr>
          <w:rFonts w:ascii="Aptos" w:hAnsi="Aptos"/>
          <w:sz w:val="18"/>
        </w:rPr>
        <w:t>Food matrix.</w:t>
      </w:r>
    </w:p>
    <w:p>
      <w:pPr>
        <w:pStyle w:val="ListBullet"/>
        <w:spacing w:after="40"/>
      </w:pPr>
      <w:r>
        <w:rPr>
          <w:rFonts w:ascii="Aptos" w:hAnsi="Aptos"/>
          <w:sz w:val="18"/>
        </w:rPr>
        <w:t>Enhancers.</w:t>
      </w:r>
    </w:p>
    <w:p>
      <w:pPr>
        <w:pStyle w:val="ListBullet"/>
        <w:spacing w:after="40"/>
      </w:pPr>
      <w:r>
        <w:rPr>
          <w:rFonts w:ascii="Aptos" w:hAnsi="Aptos"/>
          <w:sz w:val="18"/>
        </w:rPr>
        <w:t>Inhibitors.</w:t>
      </w:r>
    </w:p>
    <w:p>
      <w:pPr>
        <w:pStyle w:val="ListBullet"/>
        <w:spacing w:after="40"/>
      </w:pPr>
      <w:r>
        <w:rPr>
          <w:rFonts w:ascii="Aptos" w:hAnsi="Aptos"/>
          <w:sz w:val="18"/>
        </w:rPr>
        <w:t>Meal composition.</w:t>
      </w:r>
    </w:p>
    <w:p>
      <w:pPr>
        <w:pStyle w:val="ListBullet"/>
        <w:spacing w:after="40"/>
      </w:pPr>
      <w:r>
        <w:rPr>
          <w:rFonts w:ascii="Aptos" w:hAnsi="Aptos"/>
          <w:sz w:val="18"/>
        </w:rPr>
        <w:t>Physiological state.</w:t>
      </w:r>
    </w:p>
    <w:p>
      <w:pPr>
        <w:pStyle w:val="ListBullet"/>
        <w:spacing w:after="40"/>
      </w:pPr>
      <w:r>
        <w:rPr>
          <w:rFonts w:ascii="Aptos" w:hAnsi="Aptos"/>
          <w:sz w:val="18"/>
        </w:rPr>
        <w:t>Medication effects.</w:t>
      </w:r>
    </w:p>
    <w:p>
      <w:pPr>
        <w:pStyle w:val="ListBullet"/>
        <w:spacing w:after="40"/>
      </w:pPr>
      <w:r>
        <w:rPr>
          <w:rFonts w:ascii="Aptos" w:hAnsi="Aptos"/>
          <w:sz w:val="18"/>
        </w:rPr>
        <w:t>Fortification or supplement form.</w:t>
      </w:r>
    </w:p>
    <w:p>
      <w:r>
        <w:rPr>
          <w:rFonts w:ascii="Aptos" w:hAnsi="Aptos"/>
          <w:sz w:val="19"/>
        </w:rPr>
        <w:t>The app must distinguish:</w:t>
      </w:r>
    </w:p>
    <w:p>
      <w:pPr>
        <w:pStyle w:val="ListBullet"/>
        <w:spacing w:after="40"/>
      </w:pPr>
      <w:r>
        <w:rPr>
          <w:rFonts w:ascii="Aptos" w:hAnsi="Aptos"/>
          <w:sz w:val="18"/>
        </w:rPr>
        <w:t>Greater absorption from higher total nutrient content.</w:t>
      </w:r>
    </w:p>
    <w:p>
      <w:pPr>
        <w:pStyle w:val="ListBullet"/>
        <w:spacing w:after="40"/>
      </w:pPr>
      <w:r>
        <w:rPr>
          <w:rFonts w:ascii="Aptos" w:hAnsi="Aptos"/>
          <w:sz w:val="18"/>
        </w:rPr>
        <w:t>Laboratory bioaccessibility from human bioavailability.</w:t>
      </w:r>
    </w:p>
    <w:p>
      <w:pPr>
        <w:pStyle w:val="ListBullet"/>
        <w:spacing w:after="40"/>
      </w:pPr>
      <w:r>
        <w:rPr>
          <w:rFonts w:ascii="Aptos" w:hAnsi="Aptos"/>
          <w:sz w:val="18"/>
        </w:rPr>
        <w:t>Population evidence from individual prediction.</w:t>
      </w:r>
    </w:p>
    <w:p>
      <w:r>
        <w:rPr>
          <w:rFonts w:ascii="Aptos" w:hAnsi="Aptos"/>
          <w:sz w:val="19"/>
        </w:rPr>
        <w:t>Do not produce a numeric absorption percentage unless a source supports that specific context.</w:t>
      </w:r>
    </w:p>
    <w:p>
      <w:pPr>
        <w:pStyle w:val="Heading1"/>
      </w:pPr>
      <w:r>
        <w:t>22. Deficiency education</w:t>
      </w:r>
    </w:p>
    <w:p>
      <w:r>
        <w:rPr>
          <w:rFonts w:ascii="Aptos" w:hAnsi="Aptos"/>
          <w:sz w:val="19"/>
        </w:rPr>
        <w:t>Each deficiency section may contain:</w:t>
      </w:r>
    </w:p>
    <w:p>
      <w:pPr>
        <w:pStyle w:val="ListBullet"/>
        <w:spacing w:after="40"/>
      </w:pPr>
      <w:r>
        <w:rPr>
          <w:rFonts w:ascii="Aptos" w:hAnsi="Aptos"/>
          <w:sz w:val="18"/>
        </w:rPr>
        <w:t>High-level physiological consequence.</w:t>
      </w:r>
    </w:p>
    <w:p>
      <w:pPr>
        <w:pStyle w:val="ListBullet"/>
        <w:spacing w:after="40"/>
      </w:pPr>
      <w:r>
        <w:rPr>
          <w:rFonts w:ascii="Aptos" w:hAnsi="Aptos"/>
          <w:sz w:val="18"/>
        </w:rPr>
        <w:t>Groups at higher risk.</w:t>
      </w:r>
    </w:p>
    <w:p>
      <w:pPr>
        <w:pStyle w:val="ListBullet"/>
        <w:spacing w:after="40"/>
      </w:pPr>
      <w:r>
        <w:rPr>
          <w:rFonts w:ascii="Aptos" w:hAnsi="Aptos"/>
          <w:sz w:val="18"/>
        </w:rPr>
        <w:t>General signs and symptoms.</w:t>
      </w:r>
    </w:p>
    <w:p>
      <w:pPr>
        <w:pStyle w:val="ListBullet"/>
        <w:spacing w:after="40"/>
      </w:pPr>
      <w:r>
        <w:rPr>
          <w:rFonts w:ascii="Aptos" w:hAnsi="Aptos"/>
          <w:sz w:val="18"/>
        </w:rPr>
        <w:t>Dietary-pattern considerations.</w:t>
      </w:r>
    </w:p>
    <w:p>
      <w:pPr>
        <w:pStyle w:val="ListBullet"/>
        <w:spacing w:after="40"/>
      </w:pPr>
      <w:r>
        <w:rPr>
          <w:rFonts w:ascii="Aptos" w:hAnsi="Aptos"/>
          <w:sz w:val="18"/>
        </w:rPr>
        <w:t>When professional assessment is appropriate.</w:t>
      </w:r>
    </w:p>
    <w:p>
      <w:pPr>
        <w:pStyle w:val="ListBullet"/>
        <w:spacing w:after="40"/>
      </w:pPr>
      <w:r>
        <w:rPr>
          <w:rFonts w:ascii="Aptos" w:hAnsi="Aptos"/>
          <w:sz w:val="18"/>
        </w:rPr>
        <w:t>Source links.</w:t>
      </w:r>
    </w:p>
    <w:p>
      <w:r>
        <w:rPr>
          <w:rFonts w:ascii="Aptos" w:hAnsi="Aptos"/>
          <w:sz w:val="19"/>
        </w:rPr>
        <w:t>Mandatory boundary text:</w:t>
      </w:r>
    </w:p>
    <w:p>
      <w:r>
        <w:rPr>
          <w:rFonts w:ascii="Aptos" w:hAnsi="Aptos"/>
          <w:sz w:val="19"/>
        </w:rPr>
        <w:t>&gt; Symptoms are nonspecific and cannot diagnose a nutrient deficiency. Diagnosis may require clinical evaluation and appropriate laboratory testing.</w:t>
      </w:r>
    </w:p>
    <w:p>
      <w:r>
        <w:rPr>
          <w:rFonts w:ascii="Aptos" w:hAnsi="Aptos"/>
          <w:sz w:val="19"/>
        </w:rPr>
        <w:t>Do not create a symptom checker.</w:t>
      </w:r>
    </w:p>
    <w:p>
      <w:pPr>
        <w:pStyle w:val="Heading1"/>
      </w:pPr>
      <w:r>
        <w:t>23. Excess, toxicity and upper limits</w:t>
      </w:r>
    </w:p>
    <w:p>
      <w:r>
        <w:rPr>
          <w:rFonts w:ascii="Aptos" w:hAnsi="Aptos"/>
          <w:sz w:val="19"/>
        </w:rPr>
        <w:t>Each excess section may contain:</w:t>
      </w:r>
    </w:p>
    <w:p>
      <w:pPr>
        <w:pStyle w:val="ListBullet"/>
        <w:spacing w:after="40"/>
      </w:pPr>
      <w:r>
        <w:rPr>
          <w:rFonts w:ascii="Aptos" w:hAnsi="Aptos"/>
          <w:sz w:val="18"/>
        </w:rPr>
        <w:t>Whether a UL/TUL exists.</w:t>
      </w:r>
    </w:p>
    <w:p>
      <w:pPr>
        <w:pStyle w:val="ListBullet"/>
        <w:spacing w:after="40"/>
      </w:pPr>
      <w:r>
        <w:rPr>
          <w:rFonts w:ascii="Aptos" w:hAnsi="Aptos"/>
          <w:sz w:val="18"/>
        </w:rPr>
        <w:t>Whether the upper limit applies to food, supplements or both.</w:t>
      </w:r>
    </w:p>
    <w:p>
      <w:pPr>
        <w:pStyle w:val="ListBullet"/>
        <w:spacing w:after="40"/>
      </w:pPr>
      <w:r>
        <w:rPr>
          <w:rFonts w:ascii="Aptos" w:hAnsi="Aptos"/>
          <w:sz w:val="18"/>
        </w:rPr>
        <w:t>Known adverse-effect context.</w:t>
      </w:r>
    </w:p>
    <w:p>
      <w:pPr>
        <w:pStyle w:val="ListBullet"/>
        <w:spacing w:after="40"/>
      </w:pPr>
      <w:r>
        <w:rPr>
          <w:rFonts w:ascii="Aptos" w:hAnsi="Aptos"/>
          <w:sz w:val="18"/>
        </w:rPr>
        <w:t>Population-specific exceptions.</w:t>
      </w:r>
    </w:p>
    <w:p>
      <w:pPr>
        <w:pStyle w:val="ListBullet"/>
        <w:spacing w:after="40"/>
      </w:pPr>
      <w:r>
        <w:rPr>
          <w:rFonts w:ascii="Aptos" w:hAnsi="Aptos"/>
          <w:sz w:val="18"/>
        </w:rPr>
        <w:t>Professional-review triggers.</w:t>
      </w:r>
    </w:p>
    <w:p>
      <w:r>
        <w:rPr>
          <w:rFonts w:ascii="Aptos" w:hAnsi="Aptos"/>
          <w:sz w:val="19"/>
        </w:rPr>
        <w:t>Never treat “no UL established” as proof that unlimited intake is safe.</w:t>
      </w:r>
    </w:p>
    <w:p>
      <w:pPr>
        <w:pStyle w:val="Heading1"/>
      </w:pPr>
      <w:r>
        <w:t>24. Interactions</w:t>
      </w:r>
    </w:p>
    <w:p>
      <w:r>
        <w:rPr>
          <w:rFonts w:ascii="Aptos" w:hAnsi="Aptos"/>
          <w:sz w:val="19"/>
        </w:rPr>
        <w:t>The interface may include:</w:t>
      </w:r>
    </w:p>
    <w:p>
      <w:pPr>
        <w:pStyle w:val="ListBullet"/>
        <w:spacing w:after="40"/>
      </w:pPr>
      <w:r>
        <w:rPr>
          <w:rFonts w:ascii="Aptos" w:hAnsi="Aptos"/>
          <w:sz w:val="18"/>
        </w:rPr>
        <w:t>Nutrient-nutrient interactions.</w:t>
      </w:r>
    </w:p>
    <w:p>
      <w:pPr>
        <w:pStyle w:val="ListBullet"/>
        <w:spacing w:after="40"/>
      </w:pPr>
      <w:r>
        <w:rPr>
          <w:rFonts w:ascii="Aptos" w:hAnsi="Aptos"/>
          <w:sz w:val="18"/>
        </w:rPr>
        <w:t>Nutrient-medication interactions.</w:t>
      </w:r>
    </w:p>
    <w:p>
      <w:pPr>
        <w:pStyle w:val="ListBullet"/>
        <w:spacing w:after="40"/>
      </w:pPr>
      <w:r>
        <w:rPr>
          <w:rFonts w:ascii="Aptos" w:hAnsi="Aptos"/>
          <w:sz w:val="18"/>
        </w:rPr>
        <w:t>Nutrient-condition cautions.</w:t>
      </w:r>
    </w:p>
    <w:p>
      <w:pPr>
        <w:pStyle w:val="ListBullet"/>
        <w:spacing w:after="40"/>
      </w:pPr>
      <w:r>
        <w:rPr>
          <w:rFonts w:ascii="Aptos" w:hAnsi="Aptos"/>
          <w:sz w:val="18"/>
        </w:rPr>
        <w:t>Food/supplement timing context.</w:t>
      </w:r>
    </w:p>
    <w:p>
      <w:r>
        <w:rPr>
          <w:rFonts w:ascii="Aptos" w:hAnsi="Aptos"/>
          <w:sz w:val="19"/>
        </w:rPr>
        <w:t>Every interaction requires severity:</w:t>
      </w:r>
    </w:p>
    <w:p>
      <w:pPr>
        <w:pStyle w:val="ListBullet"/>
        <w:spacing w:after="40"/>
      </w:pPr>
      <w:r>
        <w:rPr>
          <w:rFonts w:ascii="Aptos" w:hAnsi="Aptos"/>
          <w:sz w:val="18"/>
        </w:rPr>
        <w:t>Informational.</w:t>
      </w:r>
    </w:p>
    <w:p>
      <w:pPr>
        <w:pStyle w:val="ListBullet"/>
        <w:spacing w:after="40"/>
      </w:pPr>
      <w:r>
        <w:rPr>
          <w:rFonts w:ascii="Aptos" w:hAnsi="Aptos"/>
          <w:sz w:val="18"/>
        </w:rPr>
        <w:t>Caution.</w:t>
      </w:r>
    </w:p>
    <w:p>
      <w:pPr>
        <w:pStyle w:val="ListBullet"/>
        <w:spacing w:after="40"/>
      </w:pPr>
      <w:r>
        <w:rPr>
          <w:rFonts w:ascii="Aptos" w:hAnsi="Aptos"/>
          <w:sz w:val="18"/>
        </w:rPr>
        <w:t>Professional review.</w:t>
      </w:r>
    </w:p>
    <w:p>
      <w:pPr>
        <w:pStyle w:val="ListBullet"/>
        <w:spacing w:after="40"/>
      </w:pPr>
      <w:r>
        <w:rPr>
          <w:rFonts w:ascii="Aptos" w:hAnsi="Aptos"/>
          <w:sz w:val="18"/>
        </w:rPr>
        <w:t>Urgent.</w:t>
      </w:r>
    </w:p>
    <w:p>
      <w:r>
        <w:rPr>
          <w:rFonts w:ascii="Aptos" w:hAnsi="Aptos"/>
          <w:sz w:val="19"/>
        </w:rPr>
        <w:t>Medication interactions must be clearly non-exhaustive and must not advise stopping, starting or changing medication.</w:t>
      </w:r>
    </w:p>
    <w:p>
      <w:pPr>
        <w:pStyle w:val="Heading1"/>
      </w:pPr>
      <w:r>
        <w:t>25. Training relevance</w:t>
      </w:r>
    </w:p>
    <w:p>
      <w:r>
        <w:rPr>
          <w:rFonts w:ascii="Aptos" w:hAnsi="Aptos"/>
          <w:sz w:val="19"/>
        </w:rPr>
        <w:t>Training relevance may cover:</w:t>
      </w:r>
    </w:p>
    <w:p>
      <w:pPr>
        <w:pStyle w:val="ListBullet"/>
        <w:spacing w:after="40"/>
      </w:pPr>
      <w:r>
        <w:rPr>
          <w:rFonts w:ascii="Aptos" w:hAnsi="Aptos"/>
          <w:sz w:val="18"/>
        </w:rPr>
        <w:t>Energy metabolism.</w:t>
      </w:r>
    </w:p>
    <w:p>
      <w:pPr>
        <w:pStyle w:val="ListBullet"/>
        <w:spacing w:after="40"/>
      </w:pPr>
      <w:r>
        <w:rPr>
          <w:rFonts w:ascii="Aptos" w:hAnsi="Aptos"/>
          <w:sz w:val="18"/>
        </w:rPr>
        <w:t>Muscle protein synthesis context.</w:t>
      </w:r>
    </w:p>
    <w:p>
      <w:pPr>
        <w:pStyle w:val="ListBullet"/>
        <w:spacing w:after="40"/>
      </w:pPr>
      <w:r>
        <w:rPr>
          <w:rFonts w:ascii="Aptos" w:hAnsi="Aptos"/>
          <w:sz w:val="18"/>
        </w:rPr>
        <w:t>Oxygen transport.</w:t>
      </w:r>
    </w:p>
    <w:p>
      <w:pPr>
        <w:pStyle w:val="ListBullet"/>
        <w:spacing w:after="40"/>
      </w:pPr>
      <w:r>
        <w:rPr>
          <w:rFonts w:ascii="Aptos" w:hAnsi="Aptos"/>
          <w:sz w:val="18"/>
        </w:rPr>
        <w:t>Bone health.</w:t>
      </w:r>
    </w:p>
    <w:p>
      <w:pPr>
        <w:pStyle w:val="ListBullet"/>
        <w:spacing w:after="40"/>
      </w:pPr>
      <w:r>
        <w:rPr>
          <w:rFonts w:ascii="Aptos" w:hAnsi="Aptos"/>
          <w:sz w:val="18"/>
        </w:rPr>
        <w:t>Hydration and electrolytes.</w:t>
      </w:r>
    </w:p>
    <w:p>
      <w:pPr>
        <w:pStyle w:val="ListBullet"/>
        <w:spacing w:after="40"/>
      </w:pPr>
      <w:r>
        <w:rPr>
          <w:rFonts w:ascii="Aptos" w:hAnsi="Aptos"/>
          <w:sz w:val="18"/>
        </w:rPr>
        <w:t>Neuromuscular function.</w:t>
      </w:r>
    </w:p>
    <w:p>
      <w:pPr>
        <w:pStyle w:val="ListBullet"/>
        <w:spacing w:after="40"/>
      </w:pPr>
      <w:r>
        <w:rPr>
          <w:rFonts w:ascii="Aptos" w:hAnsi="Aptos"/>
          <w:sz w:val="18"/>
        </w:rPr>
        <w:t>Recovery and immune function.</w:t>
      </w:r>
    </w:p>
    <w:p>
      <w:r>
        <w:rPr>
          <w:rFonts w:ascii="Aptos" w:hAnsi="Aptos"/>
          <w:sz w:val="19"/>
        </w:rPr>
        <w:t>Rules:</w:t>
      </w:r>
    </w:p>
    <w:p>
      <w:pPr>
        <w:pStyle w:val="ListBullet"/>
        <w:spacing w:after="40"/>
      </w:pPr>
      <w:r>
        <w:rPr>
          <w:rFonts w:ascii="Aptos" w:hAnsi="Aptos"/>
          <w:sz w:val="18"/>
        </w:rPr>
        <w:t>Separate normal physiological need from performance-enhancement claims.</w:t>
      </w:r>
    </w:p>
    <w:p>
      <w:pPr>
        <w:pStyle w:val="ListBullet"/>
        <w:spacing w:after="40"/>
      </w:pPr>
      <w:r>
        <w:rPr>
          <w:rFonts w:ascii="Aptos" w:hAnsi="Aptos"/>
          <w:sz w:val="18"/>
        </w:rPr>
        <w:t>Distinguish deficiency correction from benefit above adequate intake.</w:t>
      </w:r>
    </w:p>
    <w:p>
      <w:pPr>
        <w:pStyle w:val="ListBullet"/>
        <w:spacing w:after="40"/>
      </w:pPr>
      <w:r>
        <w:rPr>
          <w:rFonts w:ascii="Aptos" w:hAnsi="Aptos"/>
          <w:sz w:val="18"/>
        </w:rPr>
        <w:t>Do not imply that more is better.</w:t>
      </w:r>
    </w:p>
    <w:p>
      <w:pPr>
        <w:pStyle w:val="ListBullet"/>
        <w:spacing w:after="40"/>
      </w:pPr>
      <w:r>
        <w:rPr>
          <w:rFonts w:ascii="Aptos" w:hAnsi="Aptos"/>
          <w:sz w:val="18"/>
        </w:rPr>
        <w:t>Supplement details belong to Phase 13.</w:t>
      </w:r>
    </w:p>
    <w:p>
      <w:pPr>
        <w:pStyle w:val="ListBullet"/>
        <w:spacing w:after="40"/>
      </w:pPr>
      <w:r>
        <w:rPr>
          <w:rFonts w:ascii="Aptos" w:hAnsi="Aptos"/>
          <w:sz w:val="18"/>
        </w:rPr>
        <w:t>Sports-specific claims require explicit evidence level and population.</w:t>
      </w:r>
    </w:p>
    <w:p>
      <w:pPr>
        <w:pStyle w:val="Heading1"/>
      </w:pPr>
      <w:r>
        <w:t>26. Dietary-pattern context</w:t>
      </w:r>
    </w:p>
    <w:p>
      <w:r>
        <w:rPr>
          <w:rFonts w:ascii="Aptos" w:hAnsi="Aptos"/>
          <w:sz w:val="19"/>
        </w:rPr>
        <w:t>Nutrient pages should support:</w:t>
      </w:r>
    </w:p>
    <w:p>
      <w:pPr>
        <w:pStyle w:val="ListBullet"/>
        <w:spacing w:after="40"/>
      </w:pPr>
      <w:r>
        <w:rPr>
          <w:rFonts w:ascii="Aptos" w:hAnsi="Aptos"/>
          <w:sz w:val="18"/>
        </w:rPr>
        <w:t>Vegetarian context.</w:t>
      </w:r>
    </w:p>
    <w:p>
      <w:pPr>
        <w:pStyle w:val="ListBullet"/>
        <w:spacing w:after="40"/>
      </w:pPr>
      <w:r>
        <w:rPr>
          <w:rFonts w:ascii="Aptos" w:hAnsi="Aptos"/>
          <w:sz w:val="18"/>
        </w:rPr>
        <w:t>Vegan context.</w:t>
      </w:r>
    </w:p>
    <w:p>
      <w:pPr>
        <w:pStyle w:val="ListBullet"/>
        <w:spacing w:after="40"/>
      </w:pPr>
      <w:r>
        <w:rPr>
          <w:rFonts w:ascii="Aptos" w:hAnsi="Aptos"/>
          <w:sz w:val="18"/>
        </w:rPr>
        <w:t>Mixed-diet context.</w:t>
      </w:r>
    </w:p>
    <w:p>
      <w:pPr>
        <w:pStyle w:val="ListBullet"/>
        <w:spacing w:after="40"/>
      </w:pPr>
      <w:r>
        <w:rPr>
          <w:rFonts w:ascii="Aptos" w:hAnsi="Aptos"/>
          <w:sz w:val="18"/>
        </w:rPr>
        <w:t>Indian food examples derived from verified Phase 07 records.</w:t>
      </w:r>
    </w:p>
    <w:p>
      <w:pPr>
        <w:pStyle w:val="ListBullet"/>
        <w:spacing w:after="40"/>
      </w:pPr>
      <w:r>
        <w:rPr>
          <w:rFonts w:ascii="Aptos" w:hAnsi="Aptos"/>
          <w:sz w:val="18"/>
        </w:rPr>
        <w:t>Fortified-food context.</w:t>
      </w:r>
    </w:p>
    <w:p>
      <w:pPr>
        <w:pStyle w:val="ListBullet"/>
        <w:spacing w:after="40"/>
      </w:pPr>
      <w:r>
        <w:rPr>
          <w:rFonts w:ascii="Aptos" w:hAnsi="Aptos"/>
          <w:sz w:val="18"/>
        </w:rPr>
        <w:t>Bioavailability limitations.</w:t>
      </w:r>
    </w:p>
    <w:p>
      <w:r>
        <w:rPr>
          <w:rFonts w:ascii="Aptos" w:hAnsi="Aptos"/>
          <w:sz w:val="19"/>
        </w:rPr>
        <w:t>Do not assume every vegetarian or vegan user is deficient. Explain risk and planning considerations without diagnosis.</w:t>
      </w:r>
    </w:p>
    <w:p>
      <w:pPr>
        <w:pStyle w:val="Heading1"/>
      </w:pPr>
      <w:r>
        <w:t>27. Source governance</w:t>
      </w:r>
    </w:p>
    <w:p>
      <w:r>
        <w:rPr>
          <w:rFonts w:ascii="Aptos" w:hAnsi="Aptos"/>
          <w:sz w:val="19"/>
        </w:rPr>
        <w:t>Priority order:</w:t>
      </w:r>
    </w:p>
    <w:p>
      <w:pPr>
        <w:spacing w:after="40"/>
        <w:ind w:left="403" w:hanging="403"/>
      </w:pPr>
      <w:r>
        <w:rPr>
          <w:rFonts w:ascii="Aptos" w:hAnsi="Aptos"/>
          <w:color w:val="2D3741"/>
          <w:sz w:val="18"/>
        </w:rPr>
        <w:t xml:space="preserve">1. </w:t>
      </w:r>
      <w:r>
        <w:rPr>
          <w:rFonts w:ascii="Aptos" w:hAnsi="Aptos"/>
          <w:sz w:val="18"/>
        </w:rPr>
        <w:t>Official nutrient-reference authorities.</w:t>
      </w:r>
    </w:p>
    <w:p>
      <w:pPr>
        <w:spacing w:after="40"/>
        <w:ind w:left="403" w:hanging="403"/>
      </w:pPr>
      <w:r>
        <w:rPr>
          <w:rFonts w:ascii="Aptos" w:hAnsi="Aptos"/>
          <w:color w:val="2D3741"/>
          <w:sz w:val="18"/>
        </w:rPr>
        <w:t xml:space="preserve">2. </w:t>
      </w:r>
      <w:r>
        <w:rPr>
          <w:rFonts w:ascii="Aptos" w:hAnsi="Aptos"/>
          <w:sz w:val="18"/>
        </w:rPr>
        <w:t>NIH ODS professional fact sheets.</w:t>
      </w:r>
    </w:p>
    <w:p>
      <w:pPr>
        <w:spacing w:after="40"/>
        <w:ind w:left="403" w:hanging="403"/>
      </w:pPr>
      <w:r>
        <w:rPr>
          <w:rFonts w:ascii="Aptos" w:hAnsi="Aptos"/>
          <w:color w:val="2D3741"/>
          <w:sz w:val="18"/>
        </w:rPr>
        <w:t xml:space="preserve">3. </w:t>
      </w:r>
      <w:r>
        <w:rPr>
          <w:rFonts w:ascii="Aptos" w:hAnsi="Aptos"/>
          <w:sz w:val="18"/>
        </w:rPr>
        <w:t>National Academies consensus DRI reports.</w:t>
      </w:r>
    </w:p>
    <w:p>
      <w:pPr>
        <w:spacing w:after="40"/>
        <w:ind w:left="403" w:hanging="403"/>
      </w:pPr>
      <w:r>
        <w:rPr>
          <w:rFonts w:ascii="Aptos" w:hAnsi="Aptos"/>
          <w:color w:val="2D3741"/>
          <w:sz w:val="18"/>
        </w:rPr>
        <w:t xml:space="preserve">4. </w:t>
      </w:r>
      <w:r>
        <w:rPr>
          <w:rFonts w:ascii="Aptos" w:hAnsi="Aptos"/>
          <w:sz w:val="18"/>
        </w:rPr>
        <w:t>ICMR-NIN official Indian nutrient-requirement material.</w:t>
      </w:r>
    </w:p>
    <w:p>
      <w:pPr>
        <w:spacing w:after="40"/>
        <w:ind w:left="403" w:hanging="403"/>
      </w:pPr>
      <w:r>
        <w:rPr>
          <w:rFonts w:ascii="Aptos" w:hAnsi="Aptos"/>
          <w:color w:val="2D3741"/>
          <w:sz w:val="18"/>
        </w:rPr>
        <w:t xml:space="preserve">5. </w:t>
      </w:r>
      <w:r>
        <w:rPr>
          <w:rFonts w:ascii="Aptos" w:hAnsi="Aptos"/>
          <w:sz w:val="18"/>
        </w:rPr>
        <w:t>EFSA scientific opinions.</w:t>
      </w:r>
    </w:p>
    <w:p>
      <w:pPr>
        <w:spacing w:after="40"/>
        <w:ind w:left="403" w:hanging="403"/>
      </w:pPr>
      <w:r>
        <w:rPr>
          <w:rFonts w:ascii="Aptos" w:hAnsi="Aptos"/>
          <w:color w:val="2D3741"/>
          <w:sz w:val="18"/>
        </w:rPr>
        <w:t xml:space="preserve">6. </w:t>
      </w:r>
      <w:r>
        <w:rPr>
          <w:rFonts w:ascii="Aptos" w:hAnsi="Aptos"/>
          <w:sz w:val="18"/>
        </w:rPr>
        <w:t>Systematic reviews and professional consensus documents for athletic context.</w:t>
      </w:r>
    </w:p>
    <w:p>
      <w:pPr>
        <w:spacing w:after="40"/>
        <w:ind w:left="403" w:hanging="403"/>
      </w:pPr>
      <w:r>
        <w:rPr>
          <w:rFonts w:ascii="Aptos" w:hAnsi="Aptos"/>
          <w:color w:val="2D3741"/>
          <w:sz w:val="18"/>
        </w:rPr>
        <w:t xml:space="preserve">7. </w:t>
      </w:r>
      <w:r>
        <w:rPr>
          <w:rFonts w:ascii="Aptos" w:hAnsi="Aptos"/>
          <w:sz w:val="18"/>
        </w:rPr>
        <w:t>Primary research only when higher-level evidence is unavailable.</w:t>
      </w:r>
    </w:p>
    <w:p>
      <w:r>
        <w:rPr>
          <w:rFonts w:ascii="Aptos" w:hAnsi="Aptos"/>
          <w:sz w:val="19"/>
        </w:rPr>
        <w:t>Every source record requires authority, title or locator, date accessed and relevant version.</w:t>
      </w:r>
    </w:p>
    <w:p>
      <w:pPr>
        <w:pStyle w:val="Heading1"/>
      </w:pPr>
      <w:r>
        <w:t>28. Rights and quotation rules</w:t>
      </w:r>
    </w:p>
    <w:p>
      <w:pPr>
        <w:pStyle w:val="ListBullet"/>
        <w:spacing w:after="40"/>
      </w:pPr>
      <w:r>
        <w:rPr>
          <w:rFonts w:ascii="Aptos" w:hAnsi="Aptos"/>
          <w:sz w:val="18"/>
        </w:rPr>
        <w:t>Do not copy entire NIH, NIN, EFSA or National Academies pages.</w:t>
      </w:r>
    </w:p>
    <w:p>
      <w:pPr>
        <w:pStyle w:val="ListBullet"/>
        <w:spacing w:after="40"/>
      </w:pPr>
      <w:r>
        <w:rPr>
          <w:rFonts w:ascii="Aptos" w:hAnsi="Aptos"/>
          <w:sz w:val="18"/>
        </w:rPr>
        <w:t>Summarize in original wording.</w:t>
      </w:r>
    </w:p>
    <w:p>
      <w:pPr>
        <w:pStyle w:val="ListBullet"/>
        <w:spacing w:after="40"/>
      </w:pPr>
      <w:r>
        <w:rPr>
          <w:rFonts w:ascii="Aptos" w:hAnsi="Aptos"/>
          <w:sz w:val="18"/>
        </w:rPr>
        <w:t>Use brief quotations only when necessary.</w:t>
      </w:r>
    </w:p>
    <w:p>
      <w:pPr>
        <w:pStyle w:val="ListBullet"/>
        <w:spacing w:after="40"/>
      </w:pPr>
      <w:r>
        <w:rPr>
          <w:rFonts w:ascii="Aptos" w:hAnsi="Aptos"/>
          <w:sz w:val="18"/>
        </w:rPr>
        <w:t>Do not scrape paid ICMR-NIN tables.</w:t>
      </w:r>
    </w:p>
    <w:p>
      <w:pPr>
        <w:pStyle w:val="ListBullet"/>
        <w:spacing w:after="40"/>
      </w:pPr>
      <w:r>
        <w:rPr>
          <w:rFonts w:ascii="Aptos" w:hAnsi="Aptos"/>
          <w:sz w:val="18"/>
        </w:rPr>
        <w:t>Facts and values still require provenance and versioning.</w:t>
      </w:r>
    </w:p>
    <w:p>
      <w:pPr>
        <w:pStyle w:val="ListBullet"/>
        <w:spacing w:after="40"/>
      </w:pPr>
      <w:r>
        <w:rPr>
          <w:rFonts w:ascii="Aptos" w:hAnsi="Aptos"/>
          <w:sz w:val="18"/>
        </w:rPr>
        <w:t>Do not use random blog charts or infographics.</w:t>
      </w:r>
    </w:p>
    <w:p>
      <w:pPr>
        <w:pStyle w:val="ListBullet"/>
        <w:spacing w:after="40"/>
      </w:pPr>
      <w:r>
        <w:rPr>
          <w:rFonts w:ascii="Aptos" w:hAnsi="Aptos"/>
          <w:sz w:val="18"/>
        </w:rPr>
        <w:t>Rights-cleared original diagrams are optional; text-first pages are acceptable.</w:t>
      </w:r>
    </w:p>
    <w:p>
      <w:pPr>
        <w:pStyle w:val="Heading1"/>
      </w:pPr>
      <w:r>
        <w:t>29. Seed taxonomy behavior</w:t>
      </w:r>
    </w:p>
    <w:p>
      <w:r>
        <w:rPr>
          <w:rFonts w:ascii="Aptos" w:hAnsi="Aptos"/>
          <w:sz w:val="19"/>
        </w:rPr>
        <w:t>The attached seed file contains 51 stable identities.</w:t>
      </w:r>
    </w:p>
    <w:p>
      <w:r>
        <w:rPr>
          <w:rFonts w:ascii="Aptos" w:hAnsi="Aptos"/>
          <w:sz w:val="19"/>
        </w:rPr>
        <w:t>Lovable must:</w:t>
      </w:r>
    </w:p>
    <w:p>
      <w:pPr>
        <w:pStyle w:val="ListBullet"/>
        <w:spacing w:after="40"/>
      </w:pPr>
      <w:r>
        <w:rPr>
          <w:rFonts w:ascii="Aptos" w:hAnsi="Aptos"/>
          <w:sz w:val="18"/>
        </w:rPr>
        <w:t>Load identities for route, search and schema development.</w:t>
      </w:r>
    </w:p>
    <w:p>
      <w:pPr>
        <w:pStyle w:val="ListBullet"/>
        <w:spacing w:after="40"/>
      </w:pPr>
      <w:r>
        <w:rPr>
          <w:rFonts w:ascii="Aptos" w:hAnsi="Aptos"/>
          <w:sz w:val="18"/>
        </w:rPr>
        <w:t xml:space="preserve">Keep all </w:t>
      </w:r>
      <w:r>
        <w:rPr>
          <w:rFonts w:ascii="Liberation Mono" w:hAnsi="Liberation Mono"/>
          <w:color w:val="2D3748"/>
          <w:sz w:val="16"/>
        </w:rPr>
        <w:t>draft_identity</w:t>
      </w:r>
      <w:r>
        <w:rPr>
          <w:rFonts w:ascii="Aptos" w:hAnsi="Aptos"/>
          <w:sz w:val="18"/>
        </w:rPr>
        <w:t xml:space="preserve"> records out of production public views.</w:t>
      </w:r>
    </w:p>
    <w:p>
      <w:pPr>
        <w:pStyle w:val="ListBullet"/>
        <w:spacing w:after="40"/>
      </w:pPr>
      <w:r>
        <w:rPr>
          <w:rFonts w:ascii="Aptos" w:hAnsi="Aptos"/>
          <w:sz w:val="18"/>
        </w:rPr>
        <w:t>Never generate missing reference values.</w:t>
      </w:r>
    </w:p>
    <w:p>
      <w:pPr>
        <w:pStyle w:val="ListBullet"/>
        <w:spacing w:after="40"/>
      </w:pPr>
      <w:r>
        <w:rPr>
          <w:rFonts w:ascii="Aptos" w:hAnsi="Aptos"/>
          <w:sz w:val="18"/>
        </w:rPr>
        <w:t>Never generate deficiency or toxicity claims from model memory.</w:t>
      </w:r>
    </w:p>
    <w:p>
      <w:pPr>
        <w:pStyle w:val="ListBullet"/>
        <w:spacing w:after="40"/>
      </w:pPr>
      <w:r>
        <w:rPr>
          <w:rFonts w:ascii="Aptos" w:hAnsi="Aptos"/>
          <w:sz w:val="18"/>
        </w:rPr>
        <w:t>Never publish a page because an ID exists.</w:t>
      </w:r>
    </w:p>
    <w:p>
      <w:pPr>
        <w:pStyle w:val="ListBullet"/>
        <w:spacing w:after="40"/>
      </w:pPr>
      <w:r>
        <w:rPr>
          <w:rFonts w:ascii="Aptos" w:hAnsi="Aptos"/>
          <w:sz w:val="18"/>
        </w:rPr>
        <w:t>Provide a development report showing draft, partial and publishable counts.</w:t>
      </w:r>
    </w:p>
    <w:p>
      <w:pPr>
        <w:pStyle w:val="Heading1"/>
      </w:pPr>
      <w:r>
        <w:t>30. Search behavior</w:t>
      </w:r>
    </w:p>
    <w:p>
      <w:r>
        <w:rPr>
          <w:rFonts w:ascii="Aptos" w:hAnsi="Aptos"/>
          <w:sz w:val="19"/>
        </w:rPr>
        <w:t>Search must match:</w:t>
      </w:r>
    </w:p>
    <w:p>
      <w:pPr>
        <w:pStyle w:val="ListBullet"/>
        <w:spacing w:after="40"/>
      </w:pPr>
      <w:r>
        <w:rPr>
          <w:rFonts w:ascii="Aptos" w:hAnsi="Aptos"/>
          <w:sz w:val="18"/>
        </w:rPr>
        <w:t>Canonical name.</w:t>
      </w:r>
    </w:p>
    <w:p>
      <w:pPr>
        <w:pStyle w:val="ListBullet"/>
        <w:spacing w:after="40"/>
      </w:pPr>
      <w:r>
        <w:rPr>
          <w:rFonts w:ascii="Aptos" w:hAnsi="Aptos"/>
          <w:sz w:val="18"/>
        </w:rPr>
        <w:t>Alias.</w:t>
      </w:r>
    </w:p>
    <w:p>
      <w:pPr>
        <w:pStyle w:val="ListBullet"/>
        <w:spacing w:after="40"/>
      </w:pPr>
      <w:r>
        <w:rPr>
          <w:rFonts w:ascii="Aptos" w:hAnsi="Aptos"/>
          <w:sz w:val="18"/>
        </w:rPr>
        <w:t>Vitamin number.</w:t>
      </w:r>
    </w:p>
    <w:p>
      <w:pPr>
        <w:pStyle w:val="ListBullet"/>
        <w:spacing w:after="40"/>
      </w:pPr>
      <w:r>
        <w:rPr>
          <w:rFonts w:ascii="Aptos" w:hAnsi="Aptos"/>
          <w:sz w:val="18"/>
        </w:rPr>
        <w:t>Abbreviation such as RAE, DFE, MUFA or PUFA.</w:t>
      </w:r>
    </w:p>
    <w:p>
      <w:pPr>
        <w:pStyle w:val="ListBullet"/>
        <w:spacing w:after="40"/>
      </w:pPr>
      <w:r>
        <w:rPr>
          <w:rFonts w:ascii="Aptos" w:hAnsi="Aptos"/>
          <w:sz w:val="18"/>
        </w:rPr>
        <w:t>Group.</w:t>
      </w:r>
    </w:p>
    <w:p>
      <w:r>
        <w:rPr>
          <w:rFonts w:ascii="Aptos" w:hAnsi="Aptos"/>
          <w:sz w:val="19"/>
        </w:rPr>
        <w:t>Search is local, deterministic, case-insensitive and typo-tolerant. Production results include published records only.</w:t>
      </w:r>
    </w:p>
    <w:p>
      <w:pPr>
        <w:pStyle w:val="Heading1"/>
      </w:pPr>
      <w:r>
        <w:t>31. Empty and error states</w:t>
      </w:r>
    </w:p>
    <w:p>
      <w:r>
        <w:rPr>
          <w:rFonts w:ascii="Aptos" w:hAnsi="Aptos"/>
          <w:sz w:val="19"/>
        </w:rPr>
        <w:t>Required states:</w:t>
      </w:r>
    </w:p>
    <w:p>
      <w:pPr>
        <w:pStyle w:val="ListBullet"/>
        <w:spacing w:after="40"/>
      </w:pPr>
      <w:r>
        <w:rPr>
          <w:rFonts w:ascii="Aptos" w:hAnsi="Aptos"/>
          <w:sz w:val="18"/>
        </w:rPr>
        <w:t>No published nutrient articles yet.</w:t>
      </w:r>
    </w:p>
    <w:p>
      <w:pPr>
        <w:pStyle w:val="ListBullet"/>
        <w:spacing w:after="40"/>
      </w:pPr>
      <w:r>
        <w:rPr>
          <w:rFonts w:ascii="Aptos" w:hAnsi="Aptos"/>
          <w:sz w:val="18"/>
        </w:rPr>
        <w:t>Nutrient identity exists but content is under review.</w:t>
      </w:r>
    </w:p>
    <w:p>
      <w:pPr>
        <w:pStyle w:val="ListBullet"/>
        <w:spacing w:after="40"/>
      </w:pPr>
      <w:r>
        <w:rPr>
          <w:rFonts w:ascii="Aptos" w:hAnsi="Aptos"/>
          <w:sz w:val="18"/>
        </w:rPr>
        <w:t>Reference framework has no value for this nutrient or group.</w:t>
      </w:r>
    </w:p>
    <w:p>
      <w:pPr>
        <w:pStyle w:val="ListBullet"/>
        <w:spacing w:after="40"/>
      </w:pPr>
      <w:r>
        <w:rPr>
          <w:rFonts w:ascii="Aptos" w:hAnsi="Aptos"/>
          <w:sz w:val="18"/>
        </w:rPr>
        <w:t>No UL established.</w:t>
      </w:r>
    </w:p>
    <w:p>
      <w:pPr>
        <w:pStyle w:val="ListBullet"/>
        <w:spacing w:after="40"/>
      </w:pPr>
      <w:r>
        <w:rPr>
          <w:rFonts w:ascii="Aptos" w:hAnsi="Aptos"/>
          <w:sz w:val="18"/>
        </w:rPr>
        <w:t>Phase 07 has no verified food measurement.</w:t>
      </w:r>
    </w:p>
    <w:p>
      <w:pPr>
        <w:pStyle w:val="ListBullet"/>
        <w:spacing w:after="40"/>
      </w:pPr>
      <w:r>
        <w:rPr>
          <w:rFonts w:ascii="Aptos" w:hAnsi="Aptos"/>
          <w:sz w:val="18"/>
        </w:rPr>
        <w:t>Selected food ranking basis is unavailable.</w:t>
      </w:r>
    </w:p>
    <w:p>
      <w:pPr>
        <w:pStyle w:val="ListBullet"/>
        <w:spacing w:after="40"/>
      </w:pPr>
      <w:r>
        <w:rPr>
          <w:rFonts w:ascii="Aptos" w:hAnsi="Aptos"/>
          <w:sz w:val="18"/>
        </w:rPr>
        <w:t>Invalid unit conversion.</w:t>
      </w:r>
    </w:p>
    <w:p>
      <w:pPr>
        <w:pStyle w:val="ListBullet"/>
        <w:spacing w:after="40"/>
      </w:pPr>
      <w:r>
        <w:rPr>
          <w:rFonts w:ascii="Aptos" w:hAnsi="Aptos"/>
          <w:sz w:val="18"/>
        </w:rPr>
        <w:t>Unsupported framework version.</w:t>
      </w:r>
    </w:p>
    <w:p>
      <w:pPr>
        <w:pStyle w:val="ListBullet"/>
        <w:spacing w:after="40"/>
      </w:pPr>
      <w:r>
        <w:rPr>
          <w:rFonts w:ascii="Aptos" w:hAnsi="Aptos"/>
          <w:sz w:val="18"/>
        </w:rPr>
        <w:t>Source unavailable.</w:t>
      </w:r>
    </w:p>
    <w:p>
      <w:pPr>
        <w:pStyle w:val="ListBullet"/>
        <w:spacing w:after="40"/>
      </w:pPr>
      <w:r>
        <w:rPr>
          <w:rFonts w:ascii="Aptos" w:hAnsi="Aptos"/>
          <w:sz w:val="18"/>
        </w:rPr>
        <w:t>Deprecated record.</w:t>
      </w:r>
    </w:p>
    <w:p>
      <w:r>
        <w:rPr>
          <w:rFonts w:ascii="Aptos" w:hAnsi="Aptos"/>
          <w:sz w:val="19"/>
        </w:rPr>
        <w:t>Every state must explain the limitation without guessing.</w:t>
      </w:r>
    </w:p>
    <w:p>
      <w:pPr>
        <w:pStyle w:val="Heading1"/>
      </w:pPr>
      <w:r>
        <w:t>32. Accessibility</w:t>
      </w:r>
    </w:p>
    <w:p>
      <w:pPr>
        <w:pStyle w:val="ListBullet"/>
        <w:spacing w:after="40"/>
      </w:pPr>
      <w:r>
        <w:rPr>
          <w:rFonts w:ascii="Aptos" w:hAnsi="Aptos"/>
          <w:sz w:val="18"/>
        </w:rPr>
        <w:t>One H1 per route.</w:t>
      </w:r>
    </w:p>
    <w:p>
      <w:pPr>
        <w:pStyle w:val="ListBullet"/>
        <w:spacing w:after="40"/>
      </w:pPr>
      <w:r>
        <w:rPr>
          <w:rFonts w:ascii="Aptos" w:hAnsi="Aptos"/>
          <w:sz w:val="18"/>
        </w:rPr>
        <w:t>Semantic tables with captions and headers.</w:t>
      </w:r>
    </w:p>
    <w:p>
      <w:pPr>
        <w:pStyle w:val="ListBullet"/>
        <w:spacing w:after="40"/>
      </w:pPr>
      <w:r>
        <w:rPr>
          <w:rFonts w:ascii="Aptos" w:hAnsi="Aptos"/>
          <w:sz w:val="18"/>
        </w:rPr>
        <w:t>Framework selector and age controls are keyboard operable.</w:t>
      </w:r>
    </w:p>
    <w:p>
      <w:pPr>
        <w:pStyle w:val="ListBullet"/>
        <w:spacing w:after="40"/>
      </w:pPr>
      <w:r>
        <w:rPr>
          <w:rFonts w:ascii="Aptos" w:hAnsi="Aptos"/>
          <w:sz w:val="18"/>
        </w:rPr>
        <w:t>Abbreviations are expanded on first use.</w:t>
      </w:r>
    </w:p>
    <w:p>
      <w:pPr>
        <w:pStyle w:val="ListBullet"/>
        <w:spacing w:after="40"/>
      </w:pPr>
      <w:r>
        <w:rPr>
          <w:rFonts w:ascii="Aptos" w:hAnsi="Aptos"/>
          <w:sz w:val="18"/>
        </w:rPr>
        <w:t>Tooltips are not the only source of definitions.</w:t>
      </w:r>
    </w:p>
    <w:p>
      <w:pPr>
        <w:pStyle w:val="ListBullet"/>
        <w:spacing w:after="40"/>
      </w:pPr>
      <w:r>
        <w:rPr>
          <w:rFonts w:ascii="Aptos" w:hAnsi="Aptos"/>
          <w:sz w:val="18"/>
        </w:rPr>
        <w:t>Comparison differences are not conveyed by colour alone.</w:t>
      </w:r>
    </w:p>
    <w:p>
      <w:pPr>
        <w:pStyle w:val="ListBullet"/>
        <w:spacing w:after="40"/>
      </w:pPr>
      <w:r>
        <w:rPr>
          <w:rFonts w:ascii="Aptos" w:hAnsi="Aptos"/>
          <w:sz w:val="18"/>
        </w:rPr>
        <w:t>Medical cautions are announced clearly but not repeatedly.</w:t>
      </w:r>
    </w:p>
    <w:p>
      <w:pPr>
        <w:pStyle w:val="ListBullet"/>
        <w:spacing w:after="40"/>
      </w:pPr>
      <w:r>
        <w:rPr>
          <w:rFonts w:ascii="Aptos" w:hAnsi="Aptos"/>
          <w:sz w:val="18"/>
        </w:rPr>
        <w:t>Reflow works at 320 px and 400% zoom.</w:t>
      </w:r>
    </w:p>
    <w:p>
      <w:pPr>
        <w:pStyle w:val="ListBullet"/>
        <w:spacing w:after="40"/>
      </w:pPr>
      <w:r>
        <w:rPr>
          <w:rFonts w:ascii="Aptos" w:hAnsi="Aptos"/>
          <w:sz w:val="18"/>
        </w:rPr>
        <w:t>Focus is visible in light and dark themes.</w:t>
      </w:r>
    </w:p>
    <w:p>
      <w:pPr>
        <w:pStyle w:val="ListBullet"/>
        <w:spacing w:after="40"/>
      </w:pPr>
      <w:r>
        <w:rPr>
          <w:rFonts w:ascii="Aptos" w:hAnsi="Aptos"/>
          <w:sz w:val="18"/>
        </w:rPr>
        <w:t>Units remain programmatically associated with values.</w:t>
      </w:r>
    </w:p>
    <w:p>
      <w:pPr>
        <w:pStyle w:val="Heading1"/>
      </w:pPr>
      <w:r>
        <w:t>33. Responsive behavior</w:t>
      </w:r>
    </w:p>
    <w:p>
      <w:pPr>
        <w:pStyle w:val="Heading2"/>
      </w:pPr>
      <w:r>
        <w:t>Mobile</w:t>
      </w:r>
    </w:p>
    <w:p>
      <w:pPr>
        <w:pStyle w:val="ListBullet"/>
        <w:spacing w:after="40"/>
      </w:pPr>
      <w:r>
        <w:rPr>
          <w:rFonts w:ascii="Aptos" w:hAnsi="Aptos"/>
          <w:sz w:val="18"/>
        </w:rPr>
        <w:t>Catalogue filters use an accessible drawer.</w:t>
      </w:r>
    </w:p>
    <w:p>
      <w:pPr>
        <w:pStyle w:val="ListBullet"/>
        <w:spacing w:after="40"/>
      </w:pPr>
      <w:r>
        <w:rPr>
          <w:rFonts w:ascii="Aptos" w:hAnsi="Aptos"/>
          <w:sz w:val="18"/>
        </w:rPr>
        <w:t>Nutrient detail sections stack vertically.</w:t>
      </w:r>
    </w:p>
    <w:p>
      <w:pPr>
        <w:pStyle w:val="ListBullet"/>
        <w:spacing w:after="40"/>
      </w:pPr>
      <w:r>
        <w:rPr>
          <w:rFonts w:ascii="Aptos" w:hAnsi="Aptos"/>
          <w:sz w:val="18"/>
        </w:rPr>
        <w:t>Reference tables transform into labelled cards when needed.</w:t>
      </w:r>
    </w:p>
    <w:p>
      <w:pPr>
        <w:pStyle w:val="ListBullet"/>
        <w:spacing w:after="40"/>
      </w:pPr>
      <w:r>
        <w:rPr>
          <w:rFonts w:ascii="Aptos" w:hAnsi="Aptos"/>
          <w:sz w:val="18"/>
        </w:rPr>
        <w:t>Framework and population controls remain visible near the results.</w:t>
      </w:r>
    </w:p>
    <w:p>
      <w:pPr>
        <w:pStyle w:val="ListBullet"/>
        <w:spacing w:after="40"/>
      </w:pPr>
      <w:r>
        <w:rPr>
          <w:rFonts w:ascii="Aptos" w:hAnsi="Aptos"/>
          <w:sz w:val="18"/>
        </w:rPr>
        <w:t>Food-source ranking uses compact rows with explicit basis.</w:t>
      </w:r>
    </w:p>
    <w:p>
      <w:pPr>
        <w:pStyle w:val="Heading2"/>
      </w:pPr>
      <w:r>
        <w:t>Tablet</w:t>
      </w:r>
    </w:p>
    <w:p>
      <w:pPr>
        <w:pStyle w:val="ListBullet"/>
        <w:spacing w:after="40"/>
      </w:pPr>
      <w:r>
        <w:rPr>
          <w:rFonts w:ascii="Aptos" w:hAnsi="Aptos"/>
          <w:sz w:val="18"/>
        </w:rPr>
        <w:t>Two-column catalogue is allowed.</w:t>
      </w:r>
    </w:p>
    <w:p>
      <w:pPr>
        <w:pStyle w:val="ListBullet"/>
        <w:spacing w:after="40"/>
      </w:pPr>
      <w:r>
        <w:rPr>
          <w:rFonts w:ascii="Aptos" w:hAnsi="Aptos"/>
          <w:sz w:val="18"/>
        </w:rPr>
        <w:t>Reference explorer may place controls beside results.</w:t>
      </w:r>
    </w:p>
    <w:p>
      <w:pPr>
        <w:pStyle w:val="Heading2"/>
      </w:pPr>
      <w:r>
        <w:t>Desktop</w:t>
      </w:r>
    </w:p>
    <w:p>
      <w:pPr>
        <w:pStyle w:val="ListBullet"/>
        <w:spacing w:after="40"/>
      </w:pPr>
      <w:r>
        <w:rPr>
          <w:rFonts w:ascii="Aptos" w:hAnsi="Aptos"/>
          <w:sz w:val="18"/>
        </w:rPr>
        <w:t>Detail pages may use a sticky contents/source sidebar.</w:t>
      </w:r>
    </w:p>
    <w:p>
      <w:pPr>
        <w:pStyle w:val="ListBullet"/>
        <w:spacing w:after="40"/>
      </w:pPr>
      <w:r>
        <w:rPr>
          <w:rFonts w:ascii="Aptos" w:hAnsi="Aptos"/>
          <w:sz w:val="18"/>
        </w:rPr>
        <w:t>Wide reference tables may use horizontal scroll with frozen row labels.</w:t>
      </w:r>
    </w:p>
    <w:p>
      <w:pPr>
        <w:pStyle w:val="ListBullet"/>
        <w:spacing w:after="40"/>
      </w:pPr>
      <w:r>
        <w:rPr>
          <w:rFonts w:ascii="Aptos" w:hAnsi="Aptos"/>
          <w:sz w:val="18"/>
        </w:rPr>
        <w:t>Food-source and framework panels may appear side by side.</w:t>
      </w:r>
    </w:p>
    <w:p>
      <w:pPr>
        <w:pStyle w:val="Heading1"/>
      </w:pPr>
      <w:r>
        <w:t>34. Performance</w:t>
      </w:r>
    </w:p>
    <w:p>
      <w:pPr>
        <w:pStyle w:val="ListBullet"/>
        <w:spacing w:after="40"/>
      </w:pPr>
      <w:r>
        <w:rPr>
          <w:rFonts w:ascii="Aptos" w:hAnsi="Aptos"/>
          <w:sz w:val="18"/>
        </w:rPr>
        <w:t>Support at least 250 nutrient and dietary-component topics in future.</w:t>
      </w:r>
    </w:p>
    <w:p>
      <w:pPr>
        <w:pStyle w:val="ListBullet"/>
        <w:spacing w:after="40"/>
      </w:pPr>
      <w:r>
        <w:rPr>
          <w:rFonts w:ascii="Aptos" w:hAnsi="Aptos"/>
          <w:sz w:val="18"/>
        </w:rPr>
        <w:t>Keep catalogue index compact.</w:t>
      </w:r>
    </w:p>
    <w:p>
      <w:pPr>
        <w:pStyle w:val="ListBullet"/>
        <w:spacing w:after="40"/>
      </w:pPr>
      <w:r>
        <w:rPr>
          <w:rFonts w:ascii="Aptos" w:hAnsi="Aptos"/>
          <w:sz w:val="18"/>
        </w:rPr>
        <w:t>Lazy-load full articles and reference tables.</w:t>
      </w:r>
    </w:p>
    <w:p>
      <w:pPr>
        <w:pStyle w:val="ListBullet"/>
        <w:spacing w:after="40"/>
      </w:pPr>
      <w:r>
        <w:rPr>
          <w:rFonts w:ascii="Aptos" w:hAnsi="Aptos"/>
          <w:sz w:val="18"/>
        </w:rPr>
        <w:t>Build search index at compile time.</w:t>
      </w:r>
    </w:p>
    <w:p>
      <w:pPr>
        <w:pStyle w:val="ListBullet"/>
        <w:spacing w:after="40"/>
      </w:pPr>
      <w:r>
        <w:rPr>
          <w:rFonts w:ascii="Aptos" w:hAnsi="Aptos"/>
          <w:sz w:val="18"/>
        </w:rPr>
        <w:t>Precompute Phase 07 food rankings at build time for common bases.</w:t>
      </w:r>
    </w:p>
    <w:p>
      <w:pPr>
        <w:pStyle w:val="ListBullet"/>
        <w:spacing w:after="40"/>
      </w:pPr>
      <w:r>
        <w:rPr>
          <w:rFonts w:ascii="Aptos" w:hAnsi="Aptos"/>
          <w:sz w:val="18"/>
        </w:rPr>
        <w:t>Do not load all food profiles on a nutrient page.</w:t>
      </w:r>
    </w:p>
    <w:p>
      <w:pPr>
        <w:pStyle w:val="ListBullet"/>
        <w:spacing w:after="40"/>
      </w:pPr>
      <w:r>
        <w:rPr>
          <w:rFonts w:ascii="Aptos" w:hAnsi="Aptos"/>
          <w:sz w:val="18"/>
        </w:rPr>
        <w:t>Use deterministic client-side reference calculations.</w:t>
      </w:r>
    </w:p>
    <w:p>
      <w:pPr>
        <w:pStyle w:val="ListBullet"/>
        <w:spacing w:after="40"/>
      </w:pPr>
      <w:r>
        <w:rPr>
          <w:rFonts w:ascii="Aptos" w:hAnsi="Aptos"/>
          <w:sz w:val="18"/>
        </w:rPr>
        <w:t>No runtime external nutrient API.</w:t>
      </w:r>
    </w:p>
    <w:p>
      <w:pPr>
        <w:pStyle w:val="Heading1"/>
      </w:pPr>
      <w:r>
        <w:t>35. Suggested TypeScript architecture</w:t>
      </w:r>
    </w:p>
    <w:p>
      <w:pPr>
        <w:pStyle w:val="CodeBlock"/>
        <w:keepLines/>
        <w:shd w:fill="F2F5F7"/>
      </w:pPr>
      <w:r>
        <w:rPr>
          <w:rFonts w:ascii="Liberation Mono" w:hAnsi="Liberation Mono"/>
          <w:color w:val="212D38"/>
          <w:sz w:val="16"/>
        </w:rPr>
        <w:t>src/</w:t>
        <w:br/>
        <w:t xml:space="preserve">  features/nutrients/</w:t>
        <w:br/>
        <w:t xml:space="preserve">    components/</w:t>
        <w:br/>
        <w:t xml:space="preserve">    routes/</w:t>
        <w:br/>
        <w:t xml:space="preserve">    domain/</w:t>
        <w:br/>
        <w:t xml:space="preserve">      nutrient-types.ts</w:t>
        <w:br/>
        <w:t xml:space="preserve">      nutrient-validation.ts</w:t>
        <w:br/>
        <w:t xml:space="preserve">      reference-frameworks.ts</w:t>
        <w:br/>
        <w:t xml:space="preserve">      reference-calculation.ts</w:t>
        <w:br/>
        <w:t xml:space="preserve">      nutrient-equivalents.ts</w:t>
        <w:br/>
        <w:t xml:space="preserve">      food-source-ranking.ts</w:t>
        <w:br/>
        <w:t xml:space="preserve">      evidence-formatting.ts</w:t>
        <w:br/>
        <w:t xml:space="preserve">    data/</w:t>
        <w:br/>
        <w:t xml:space="preserve">      load-nutrient-index.ts</w:t>
        <w:br/>
        <w:t xml:space="preserve">      load-nutrient-record.ts</w:t>
        <w:br/>
        <w:t xml:space="preserve">      load-reference-framework.ts</w:t>
        <w:br/>
        <w:t xml:space="preserve">    tests/</w:t>
        <w:br/>
        <w:t xml:space="preserve">  content/nutrients/</w:t>
        <w:br/>
        <w:t xml:space="preserve">  docs/nutrients/</w:t>
        <w:br/>
        <w:t>scripts/nutrient-data/</w:t>
      </w:r>
    </w:p>
    <w:p>
      <w:r>
        <w:rPr>
          <w:rFonts w:ascii="Aptos" w:hAnsi="Aptos"/>
          <w:sz w:val="19"/>
        </w:rPr>
        <w:t>Required domain functions:</w:t>
      </w:r>
    </w:p>
    <w:p>
      <w:pPr>
        <w:pStyle w:val="ListBullet"/>
        <w:spacing w:after="40"/>
      </w:pPr>
      <w:r>
        <w:rPr>
          <w:rFonts w:ascii="Liberation Mono" w:hAnsi="Liberation Mono"/>
          <w:color w:val="2D3748"/>
          <w:sz w:val="16"/>
        </w:rPr>
        <w:t>validateNutrientRecord</w:t>
      </w:r>
    </w:p>
    <w:p>
      <w:pPr>
        <w:pStyle w:val="ListBullet"/>
        <w:spacing w:after="40"/>
      </w:pPr>
      <w:r>
        <w:rPr>
          <w:rFonts w:ascii="Liberation Mono" w:hAnsi="Liberation Mono"/>
          <w:color w:val="2D3748"/>
          <w:sz w:val="16"/>
        </w:rPr>
        <w:t>resolveReferenceValue</w:t>
      </w:r>
    </w:p>
    <w:p>
      <w:pPr>
        <w:pStyle w:val="ListBullet"/>
        <w:spacing w:after="40"/>
      </w:pPr>
      <w:r>
        <w:rPr>
          <w:rFonts w:ascii="Liberation Mono" w:hAnsi="Liberation Mono"/>
          <w:color w:val="2D3748"/>
          <w:sz w:val="16"/>
        </w:rPr>
        <w:t>calculatePercentReference</w:t>
      </w:r>
    </w:p>
    <w:p>
      <w:pPr>
        <w:pStyle w:val="ListBullet"/>
        <w:spacing w:after="40"/>
      </w:pPr>
      <w:r>
        <w:rPr>
          <w:rFonts w:ascii="Liberation Mono" w:hAnsi="Liberation Mono"/>
          <w:color w:val="2D3748"/>
          <w:sz w:val="16"/>
        </w:rPr>
        <w:t>convertEquivalentUnit</w:t>
      </w:r>
    </w:p>
    <w:p>
      <w:pPr>
        <w:pStyle w:val="ListBullet"/>
        <w:spacing w:after="40"/>
      </w:pPr>
      <w:r>
        <w:rPr>
          <w:rFonts w:ascii="Liberation Mono" w:hAnsi="Liberation Mono"/>
          <w:color w:val="2D3748"/>
          <w:sz w:val="16"/>
        </w:rPr>
        <w:t>rankVerifiedFoodSources</w:t>
      </w:r>
    </w:p>
    <w:p>
      <w:pPr>
        <w:pStyle w:val="ListBullet"/>
        <w:spacing w:after="40"/>
      </w:pPr>
      <w:r>
        <w:rPr>
          <w:rFonts w:ascii="Liberation Mono" w:hAnsi="Liberation Mono"/>
          <w:color w:val="2D3748"/>
          <w:sz w:val="16"/>
        </w:rPr>
        <w:t>formatReferenceValue</w:t>
      </w:r>
    </w:p>
    <w:p>
      <w:pPr>
        <w:pStyle w:val="ListBullet"/>
        <w:spacing w:after="40"/>
      </w:pPr>
      <w:r>
        <w:rPr>
          <w:rFonts w:ascii="Liberation Mono" w:hAnsi="Liberation Mono"/>
          <w:color w:val="2D3748"/>
          <w:sz w:val="16"/>
        </w:rPr>
        <w:t>getFrameworkGlossary</w:t>
      </w:r>
    </w:p>
    <w:p>
      <w:pPr>
        <w:pStyle w:val="ListBullet"/>
        <w:spacing w:after="40"/>
      </w:pPr>
      <w:r>
        <w:rPr>
          <w:rFonts w:ascii="Liberation Mono" w:hAnsi="Liberation Mono"/>
          <w:color w:val="2D3748"/>
          <w:sz w:val="16"/>
        </w:rPr>
        <w:t>getNutrientPublicationStatus</w:t>
      </w:r>
    </w:p>
    <w:p>
      <w:pPr>
        <w:pStyle w:val="ListBullet"/>
        <w:spacing w:after="40"/>
      </w:pPr>
      <w:r>
        <w:rPr>
          <w:rFonts w:ascii="Liberation Mono" w:hAnsi="Liberation Mono"/>
          <w:color w:val="2D3748"/>
          <w:sz w:val="16"/>
        </w:rPr>
        <w:t>validateClaimSources</w:t>
      </w:r>
    </w:p>
    <w:p>
      <w:pPr>
        <w:pStyle w:val="Heading1"/>
      </w:pPr>
      <w:r>
        <w:t>36. Data validation</w:t>
      </w:r>
    </w:p>
    <w:p>
      <w:r>
        <w:rPr>
          <w:rFonts w:ascii="Aptos" w:hAnsi="Aptos"/>
          <w:sz w:val="19"/>
        </w:rPr>
        <w:t>The validator must check:</w:t>
      </w:r>
    </w:p>
    <w:p>
      <w:pPr>
        <w:pStyle w:val="ListBullet"/>
        <w:spacing w:after="40"/>
      </w:pPr>
      <w:r>
        <w:rPr>
          <w:rFonts w:ascii="Aptos" w:hAnsi="Aptos"/>
          <w:sz w:val="18"/>
        </w:rPr>
        <w:t>Schema validity.</w:t>
      </w:r>
    </w:p>
    <w:p>
      <w:pPr>
        <w:pStyle w:val="ListBullet"/>
        <w:spacing w:after="40"/>
      </w:pPr>
      <w:r>
        <w:rPr>
          <w:rFonts w:ascii="Aptos" w:hAnsi="Aptos"/>
          <w:sz w:val="18"/>
        </w:rPr>
        <w:t>Unique IDs and slugs.</w:t>
      </w:r>
    </w:p>
    <w:p>
      <w:pPr>
        <w:pStyle w:val="ListBullet"/>
        <w:spacing w:after="40"/>
      </w:pPr>
      <w:r>
        <w:rPr>
          <w:rFonts w:ascii="Aptos" w:hAnsi="Aptos"/>
          <w:sz w:val="18"/>
        </w:rPr>
        <w:t>Valid group relationships.</w:t>
      </w:r>
    </w:p>
    <w:p>
      <w:pPr>
        <w:pStyle w:val="ListBullet"/>
        <w:spacing w:after="40"/>
      </w:pPr>
      <w:r>
        <w:rPr>
          <w:rFonts w:ascii="Aptos" w:hAnsi="Aptos"/>
          <w:sz w:val="18"/>
        </w:rPr>
        <w:t>Phase 07 nutrient IDs exist when referenced.</w:t>
      </w:r>
    </w:p>
    <w:p>
      <w:pPr>
        <w:pStyle w:val="ListBullet"/>
        <w:spacing w:after="40"/>
      </w:pPr>
      <w:r>
        <w:rPr>
          <w:rFonts w:ascii="Aptos" w:hAnsi="Aptos"/>
          <w:sz w:val="18"/>
        </w:rPr>
        <w:t>Canonical unit is compatible with reference values.</w:t>
      </w:r>
    </w:p>
    <w:p>
      <w:pPr>
        <w:pStyle w:val="ListBullet"/>
        <w:spacing w:after="40"/>
      </w:pPr>
      <w:r>
        <w:rPr>
          <w:rFonts w:ascii="Aptos" w:hAnsi="Aptos"/>
          <w:sz w:val="18"/>
        </w:rPr>
        <w:t>Population age ranges do not overlap accidentally within the same framework/value type.</w:t>
      </w:r>
    </w:p>
    <w:p>
      <w:pPr>
        <w:pStyle w:val="ListBullet"/>
        <w:spacing w:after="40"/>
      </w:pPr>
      <w:r>
        <w:rPr>
          <w:rFonts w:ascii="Liberation Mono" w:hAnsi="Liberation Mono"/>
          <w:color w:val="2D3748"/>
          <w:sz w:val="16"/>
        </w:rPr>
        <w:t>minValue</w:t>
      </w:r>
      <w:r>
        <w:rPr>
          <w:rFonts w:ascii="Aptos" w:hAnsi="Aptos"/>
          <w:sz w:val="18"/>
        </w:rPr>
        <w:t xml:space="preserve"> does not exceed </w:t>
      </w:r>
      <w:r>
        <w:rPr>
          <w:rFonts w:ascii="Liberation Mono" w:hAnsi="Liberation Mono"/>
          <w:color w:val="2D3748"/>
          <w:sz w:val="16"/>
        </w:rPr>
        <w:t>maxValue</w:t>
      </w:r>
      <w:r>
        <w:rPr>
          <w:rFonts w:ascii="Aptos" w:hAnsi="Aptos"/>
          <w:sz w:val="18"/>
        </w:rPr>
        <w:t>.</w:t>
      </w:r>
    </w:p>
    <w:p>
      <w:pPr>
        <w:pStyle w:val="ListBullet"/>
        <w:spacing w:after="40"/>
      </w:pPr>
      <w:r>
        <w:rPr>
          <w:rFonts w:ascii="Aptos" w:hAnsi="Aptos"/>
          <w:sz w:val="18"/>
        </w:rPr>
        <w:t>Ranges use a range-compatible value type.</w:t>
      </w:r>
    </w:p>
    <w:p>
      <w:pPr>
        <w:pStyle w:val="ListBullet"/>
        <w:spacing w:after="40"/>
      </w:pPr>
      <w:r>
        <w:rPr>
          <w:rFonts w:ascii="Aptos" w:hAnsi="Aptos"/>
          <w:sz w:val="18"/>
        </w:rPr>
        <w:t>Percentage-energy values use an explicit basis.</w:t>
      </w:r>
    </w:p>
    <w:p>
      <w:pPr>
        <w:pStyle w:val="ListBullet"/>
        <w:spacing w:after="40"/>
      </w:pPr>
      <w:r>
        <w:rPr>
          <w:rFonts w:ascii="Aptos" w:hAnsi="Aptos"/>
          <w:sz w:val="18"/>
        </w:rPr>
        <w:t>Reference values have source and review status.</w:t>
      </w:r>
    </w:p>
    <w:p>
      <w:pPr>
        <w:pStyle w:val="ListBullet"/>
        <w:spacing w:after="40"/>
      </w:pPr>
      <w:r>
        <w:rPr>
          <w:rFonts w:ascii="Aptos" w:hAnsi="Aptos"/>
          <w:sz w:val="18"/>
        </w:rPr>
        <w:t>Claims have at least one source.</w:t>
      </w:r>
    </w:p>
    <w:p>
      <w:pPr>
        <w:pStyle w:val="ListBullet"/>
        <w:spacing w:after="40"/>
      </w:pPr>
      <w:r>
        <w:rPr>
          <w:rFonts w:ascii="Aptos" w:hAnsi="Aptos"/>
          <w:sz w:val="18"/>
        </w:rPr>
        <w:t>Published deficiency/excess sections include medical boundary text.</w:t>
      </w:r>
    </w:p>
    <w:p>
      <w:pPr>
        <w:pStyle w:val="ListBullet"/>
        <w:spacing w:after="40"/>
      </w:pPr>
      <w:r>
        <w:rPr>
          <w:rFonts w:ascii="Aptos" w:hAnsi="Aptos"/>
          <w:sz w:val="18"/>
        </w:rPr>
        <w:t>Interactions include severity.</w:t>
      </w:r>
    </w:p>
    <w:p>
      <w:pPr>
        <w:pStyle w:val="ListBullet"/>
        <w:spacing w:after="40"/>
      </w:pPr>
      <w:r>
        <w:rPr>
          <w:rFonts w:ascii="Aptos" w:hAnsi="Aptos"/>
          <w:sz w:val="18"/>
        </w:rPr>
        <w:t>Food rankings never include missing measurements as zero.</w:t>
      </w:r>
    </w:p>
    <w:p>
      <w:pPr>
        <w:pStyle w:val="ListBullet"/>
        <w:spacing w:after="40"/>
      </w:pPr>
      <w:r>
        <w:rPr>
          <w:rFonts w:ascii="Aptos" w:hAnsi="Aptos"/>
          <w:sz w:val="18"/>
        </w:rPr>
        <w:t>Published records have approved editorial status.</w:t>
      </w:r>
    </w:p>
    <w:p>
      <w:pPr>
        <w:pStyle w:val="Heading1"/>
      </w:pPr>
      <w:r>
        <w:t>37. Automated tests</w:t>
      </w:r>
    </w:p>
    <w:p>
      <w:r>
        <w:rPr>
          <w:rFonts w:ascii="Aptos" w:hAnsi="Aptos"/>
          <w:sz w:val="19"/>
        </w:rPr>
        <w:t>Required tests:</w:t>
      </w:r>
    </w:p>
    <w:p>
      <w:pPr>
        <w:pStyle w:val="ListBullet"/>
        <w:spacing w:after="40"/>
      </w:pPr>
      <w:r>
        <w:rPr>
          <w:rFonts w:ascii="Aptos" w:hAnsi="Aptos"/>
          <w:sz w:val="18"/>
        </w:rPr>
        <w:t>Schema test for all nutrient records.</w:t>
      </w:r>
    </w:p>
    <w:p>
      <w:pPr>
        <w:pStyle w:val="ListBullet"/>
        <w:spacing w:after="40"/>
      </w:pPr>
      <w:r>
        <w:rPr>
          <w:rFonts w:ascii="Aptos" w:hAnsi="Aptos"/>
          <w:sz w:val="18"/>
        </w:rPr>
        <w:t>Stable-ID and slug uniqueness.</w:t>
      </w:r>
    </w:p>
    <w:p>
      <w:pPr>
        <w:pStyle w:val="ListBullet"/>
        <w:spacing w:after="40"/>
      </w:pPr>
      <w:r>
        <w:rPr>
          <w:rFonts w:ascii="Aptos" w:hAnsi="Aptos"/>
          <w:sz w:val="18"/>
        </w:rPr>
        <w:t>Phase 07 compatibility.</w:t>
      </w:r>
    </w:p>
    <w:p>
      <w:pPr>
        <w:pStyle w:val="ListBullet"/>
        <w:spacing w:after="40"/>
      </w:pPr>
      <w:r>
        <w:rPr>
          <w:rFonts w:ascii="Aptos" w:hAnsi="Aptos"/>
          <w:sz w:val="18"/>
        </w:rPr>
        <w:t>Reference population resolution.</w:t>
      </w:r>
    </w:p>
    <w:p>
      <w:pPr>
        <w:pStyle w:val="ListBullet"/>
        <w:spacing w:after="40"/>
      </w:pPr>
      <w:r>
        <w:rPr>
          <w:rFonts w:ascii="Aptos" w:hAnsi="Aptos"/>
          <w:sz w:val="18"/>
        </w:rPr>
        <w:t>Boundary-age selection.</w:t>
      </w:r>
    </w:p>
    <w:p>
      <w:pPr>
        <w:pStyle w:val="ListBullet"/>
        <w:spacing w:after="40"/>
      </w:pPr>
      <w:r>
        <w:rPr>
          <w:rFonts w:ascii="Aptos" w:hAnsi="Aptos"/>
          <w:sz w:val="18"/>
        </w:rPr>
        <w:t>Pregnancy/lactation selection.</w:t>
      </w:r>
    </w:p>
    <w:p>
      <w:pPr>
        <w:pStyle w:val="ListBullet"/>
        <w:spacing w:after="40"/>
      </w:pPr>
      <w:r>
        <w:rPr>
          <w:rFonts w:ascii="Aptos" w:hAnsi="Aptos"/>
          <w:sz w:val="18"/>
        </w:rPr>
        <w:t>Unit and equivalent conversions.</w:t>
      </w:r>
    </w:p>
    <w:p>
      <w:pPr>
        <w:pStyle w:val="ListBullet"/>
        <w:spacing w:after="40"/>
      </w:pPr>
      <w:r>
        <w:rPr>
          <w:rFonts w:ascii="Aptos" w:hAnsi="Aptos"/>
          <w:sz w:val="18"/>
        </w:rPr>
        <w:t>Percent-reference calculations.</w:t>
      </w:r>
    </w:p>
    <w:p>
      <w:pPr>
        <w:pStyle w:val="ListBullet"/>
        <w:spacing w:after="40"/>
      </w:pPr>
      <w:r>
        <w:rPr>
          <w:rFonts w:ascii="Aptos" w:hAnsi="Aptos"/>
          <w:sz w:val="18"/>
        </w:rPr>
        <w:t>UL-not-goal display logic.</w:t>
      </w:r>
    </w:p>
    <w:p>
      <w:pPr>
        <w:pStyle w:val="ListBullet"/>
        <w:spacing w:after="40"/>
      </w:pPr>
      <w:r>
        <w:rPr>
          <w:rFonts w:ascii="Aptos" w:hAnsi="Aptos"/>
          <w:sz w:val="18"/>
        </w:rPr>
        <w:t>Missing-value handling.</w:t>
      </w:r>
    </w:p>
    <w:p>
      <w:pPr>
        <w:pStyle w:val="ListBullet"/>
        <w:spacing w:after="40"/>
      </w:pPr>
      <w:r>
        <w:rPr>
          <w:rFonts w:ascii="Aptos" w:hAnsi="Aptos"/>
          <w:sz w:val="18"/>
        </w:rPr>
        <w:t>Food ranking and profile-state handling.</w:t>
      </w:r>
    </w:p>
    <w:p>
      <w:pPr>
        <w:pStyle w:val="ListBullet"/>
        <w:spacing w:after="40"/>
      </w:pPr>
      <w:r>
        <w:rPr>
          <w:rFonts w:ascii="Aptos" w:hAnsi="Aptos"/>
          <w:sz w:val="18"/>
        </w:rPr>
        <w:t>Draft/published separation.</w:t>
      </w:r>
    </w:p>
    <w:p>
      <w:pPr>
        <w:pStyle w:val="ListBullet"/>
        <w:spacing w:after="40"/>
      </w:pPr>
      <w:r>
        <w:rPr>
          <w:rFonts w:ascii="Aptos" w:hAnsi="Aptos"/>
          <w:sz w:val="18"/>
        </w:rPr>
        <w:t>Search aliases and abbreviations.</w:t>
      </w:r>
    </w:p>
    <w:p>
      <w:pPr>
        <w:pStyle w:val="ListBullet"/>
        <w:spacing w:after="40"/>
      </w:pPr>
      <w:r>
        <w:rPr>
          <w:rFonts w:ascii="Aptos" w:hAnsi="Aptos"/>
          <w:sz w:val="18"/>
        </w:rPr>
        <w:t>Route and invalid-slug behavior.</w:t>
      </w:r>
    </w:p>
    <w:p>
      <w:pPr>
        <w:pStyle w:val="ListBullet"/>
        <w:spacing w:after="40"/>
      </w:pPr>
      <w:r>
        <w:rPr>
          <w:rFonts w:ascii="Aptos" w:hAnsi="Aptos"/>
          <w:sz w:val="18"/>
        </w:rPr>
        <w:t>Accessibility of tables and selectors.</w:t>
      </w:r>
    </w:p>
    <w:p>
      <w:pPr>
        <w:pStyle w:val="ListBullet"/>
        <w:spacing w:after="40"/>
      </w:pPr>
      <w:r>
        <w:rPr>
          <w:rFonts w:ascii="Aptos" w:hAnsi="Aptos"/>
          <w:sz w:val="18"/>
        </w:rPr>
        <w:t>No remote health-data request.</w:t>
      </w:r>
    </w:p>
    <w:p>
      <w:pPr>
        <w:pStyle w:val="ListBullet"/>
        <w:spacing w:after="40"/>
      </w:pPr>
      <w:r>
        <w:rPr>
          <w:rFonts w:ascii="Aptos" w:hAnsi="Aptos"/>
          <w:sz w:val="18"/>
        </w:rPr>
        <w:t>Regression of Phases 00, 01 and 07.</w:t>
      </w:r>
    </w:p>
    <w:p>
      <w:pPr>
        <w:pStyle w:val="Heading1"/>
      </w:pPr>
      <w:r>
        <w:t>38. Manual test matrix</w:t>
      </w:r>
    </w:p>
    <w:p>
      <w:r>
        <w:rPr>
          <w:rFonts w:ascii="Aptos" w:hAnsi="Aptos"/>
          <w:sz w:val="19"/>
        </w:rPr>
        <w:t>Test at minimum:</w:t>
      </w:r>
    </w:p>
    <w:p>
      <w:pPr>
        <w:pStyle w:val="ListBullet"/>
        <w:spacing w:after="40"/>
      </w:pPr>
      <w:r>
        <w:rPr>
          <w:rFonts w:ascii="Aptos" w:hAnsi="Aptos"/>
          <w:sz w:val="18"/>
        </w:rPr>
        <w:t>320 px mobile.</w:t>
      </w:r>
    </w:p>
    <w:p>
      <w:pPr>
        <w:pStyle w:val="ListBullet"/>
        <w:spacing w:after="40"/>
      </w:pPr>
      <w:r>
        <w:rPr>
          <w:rFonts w:ascii="Aptos" w:hAnsi="Aptos"/>
          <w:sz w:val="18"/>
        </w:rPr>
        <w:t>768 px tablet.</w:t>
      </w:r>
    </w:p>
    <w:p>
      <w:pPr>
        <w:pStyle w:val="ListBullet"/>
        <w:spacing w:after="40"/>
      </w:pPr>
      <w:r>
        <w:rPr>
          <w:rFonts w:ascii="Aptos" w:hAnsi="Aptos"/>
          <w:sz w:val="18"/>
        </w:rPr>
        <w:t>1440 px desktop.</w:t>
      </w:r>
    </w:p>
    <w:p>
      <w:pPr>
        <w:pStyle w:val="ListBullet"/>
        <w:spacing w:after="40"/>
      </w:pPr>
      <w:r>
        <w:rPr>
          <w:rFonts w:ascii="Aptos" w:hAnsi="Aptos"/>
          <w:sz w:val="18"/>
        </w:rPr>
        <w:t>Light and dark themes.</w:t>
      </w:r>
    </w:p>
    <w:p>
      <w:pPr>
        <w:pStyle w:val="ListBullet"/>
        <w:spacing w:after="40"/>
      </w:pPr>
      <w:r>
        <w:rPr>
          <w:rFonts w:ascii="Aptos" w:hAnsi="Aptos"/>
          <w:sz w:val="18"/>
        </w:rPr>
        <w:t>Keyboard only.</w:t>
      </w:r>
    </w:p>
    <w:p>
      <w:pPr>
        <w:pStyle w:val="ListBullet"/>
        <w:spacing w:after="40"/>
      </w:pPr>
      <w:r>
        <w:rPr>
          <w:rFonts w:ascii="Aptos" w:hAnsi="Aptos"/>
          <w:sz w:val="18"/>
        </w:rPr>
        <w:t>Screen-reader landmarks and table headers.</w:t>
      </w:r>
    </w:p>
    <w:p>
      <w:pPr>
        <w:pStyle w:val="ListBullet"/>
        <w:spacing w:after="40"/>
      </w:pPr>
      <w:r>
        <w:rPr>
          <w:rFonts w:ascii="Aptos" w:hAnsi="Aptos"/>
          <w:sz w:val="18"/>
        </w:rPr>
        <w:t>400% zoom.</w:t>
      </w:r>
    </w:p>
    <w:p>
      <w:pPr>
        <w:pStyle w:val="ListBullet"/>
        <w:spacing w:after="40"/>
      </w:pPr>
      <w:r>
        <w:rPr>
          <w:rFonts w:ascii="Aptos" w:hAnsi="Aptos"/>
          <w:sz w:val="18"/>
        </w:rPr>
        <w:t>No published content.</w:t>
      </w:r>
    </w:p>
    <w:p>
      <w:pPr>
        <w:pStyle w:val="ListBullet"/>
        <w:spacing w:after="40"/>
      </w:pPr>
      <w:r>
        <w:rPr>
          <w:rFonts w:ascii="Aptos" w:hAnsi="Aptos"/>
          <w:sz w:val="18"/>
        </w:rPr>
        <w:t>Partial article.</w:t>
      </w:r>
    </w:p>
    <w:p>
      <w:pPr>
        <w:pStyle w:val="ListBullet"/>
        <w:spacing w:after="40"/>
      </w:pPr>
      <w:r>
        <w:rPr>
          <w:rFonts w:ascii="Aptos" w:hAnsi="Aptos"/>
          <w:sz w:val="18"/>
        </w:rPr>
        <w:t>Multiple frameworks.</w:t>
      </w:r>
    </w:p>
    <w:p>
      <w:pPr>
        <w:pStyle w:val="ListBullet"/>
        <w:spacing w:after="40"/>
      </w:pPr>
      <w:r>
        <w:rPr>
          <w:rFonts w:ascii="Aptos" w:hAnsi="Aptos"/>
          <w:sz w:val="18"/>
        </w:rPr>
        <w:t>No reference value.</w:t>
      </w:r>
    </w:p>
    <w:p>
      <w:pPr>
        <w:pStyle w:val="ListBullet"/>
        <w:spacing w:after="40"/>
      </w:pPr>
      <w:r>
        <w:rPr>
          <w:rFonts w:ascii="Aptos" w:hAnsi="Aptos"/>
          <w:sz w:val="18"/>
        </w:rPr>
        <w:t>No upper limit.</w:t>
      </w:r>
    </w:p>
    <w:p>
      <w:pPr>
        <w:pStyle w:val="ListBullet"/>
        <w:spacing w:after="40"/>
      </w:pPr>
      <w:r>
        <w:rPr>
          <w:rFonts w:ascii="Aptos" w:hAnsi="Aptos"/>
          <w:sz w:val="18"/>
        </w:rPr>
        <w:t>No food data.</w:t>
      </w:r>
    </w:p>
    <w:p>
      <w:pPr>
        <w:pStyle w:val="ListBullet"/>
        <w:spacing w:after="40"/>
      </w:pPr>
      <w:r>
        <w:rPr>
          <w:rFonts w:ascii="Aptos" w:hAnsi="Aptos"/>
          <w:sz w:val="18"/>
        </w:rPr>
        <w:t>Raw and cooked food profiles.</w:t>
      </w:r>
    </w:p>
    <w:p>
      <w:pPr>
        <w:pStyle w:val="ListBullet"/>
        <w:spacing w:after="40"/>
      </w:pPr>
      <w:r>
        <w:rPr>
          <w:rFonts w:ascii="Aptos" w:hAnsi="Aptos"/>
          <w:sz w:val="18"/>
        </w:rPr>
        <w:t>Missing, estimated and measured food values.</w:t>
      </w:r>
    </w:p>
    <w:p>
      <w:pPr>
        <w:pStyle w:val="ListBullet"/>
        <w:spacing w:after="40"/>
      </w:pPr>
      <w:r>
        <w:rPr>
          <w:rFonts w:ascii="Aptos" w:hAnsi="Aptos"/>
          <w:sz w:val="18"/>
        </w:rPr>
        <w:t>Invalid framework query parameter.</w:t>
      </w:r>
    </w:p>
    <w:p>
      <w:pPr>
        <w:pStyle w:val="Heading1"/>
      </w:pPr>
      <w:r>
        <w:t>39. Acceptance criteria</w:t>
      </w:r>
    </w:p>
    <w:p>
      <w:pPr>
        <w:spacing w:after="40"/>
        <w:ind w:left="259" w:hanging="259"/>
      </w:pPr>
      <w:r>
        <w:rPr>
          <w:rFonts w:ascii="Aptos" w:hAnsi="Aptos"/>
          <w:color w:val="237869"/>
          <w:sz w:val="20"/>
        </w:rPr>
        <w:t xml:space="preserve">☐ </w:t>
      </w:r>
      <w:r>
        <w:rPr>
          <w:rFonts w:ascii="Aptos" w:hAnsi="Aptos"/>
          <w:sz w:val="18"/>
        </w:rPr>
        <w:t>All required routes work.</w:t>
      </w:r>
    </w:p>
    <w:p>
      <w:pPr>
        <w:spacing w:after="40"/>
        <w:ind w:left="259" w:hanging="259"/>
      </w:pPr>
      <w:r>
        <w:rPr>
          <w:rFonts w:ascii="Aptos" w:hAnsi="Aptos"/>
          <w:color w:val="237869"/>
          <w:sz w:val="20"/>
        </w:rPr>
        <w:t xml:space="preserve">☐ </w:t>
      </w:r>
      <w:r>
        <w:rPr>
          <w:rFonts w:ascii="Aptos" w:hAnsi="Aptos"/>
          <w:sz w:val="18"/>
        </w:rPr>
        <w:t>Catalogue search and filters are local and deterministic.</w:t>
      </w:r>
    </w:p>
    <w:p>
      <w:pPr>
        <w:spacing w:after="40"/>
        <w:ind w:left="259" w:hanging="259"/>
      </w:pPr>
      <w:r>
        <w:rPr>
          <w:rFonts w:ascii="Aptos" w:hAnsi="Aptos"/>
          <w:color w:val="237869"/>
          <w:sz w:val="20"/>
        </w:rPr>
        <w:t xml:space="preserve">☐ </w:t>
      </w:r>
      <w:r>
        <w:rPr>
          <w:rFonts w:ascii="Aptos" w:hAnsi="Aptos"/>
          <w:sz w:val="18"/>
        </w:rPr>
        <w:t>Draft identities are hidden in production.</w:t>
      </w:r>
    </w:p>
    <w:p>
      <w:pPr>
        <w:spacing w:after="40"/>
        <w:ind w:left="259" w:hanging="259"/>
      </w:pPr>
      <w:r>
        <w:rPr>
          <w:rFonts w:ascii="Aptos" w:hAnsi="Aptos"/>
          <w:color w:val="237869"/>
          <w:sz w:val="20"/>
        </w:rPr>
        <w:t xml:space="preserve">☐ </w:t>
      </w:r>
      <w:r>
        <w:rPr>
          <w:rFonts w:ascii="Aptos" w:hAnsi="Aptos"/>
          <w:sz w:val="18"/>
        </w:rPr>
        <w:t>Frameworks remain isolated and labelled.</w:t>
      </w:r>
    </w:p>
    <w:p>
      <w:pPr>
        <w:spacing w:after="40"/>
        <w:ind w:left="259" w:hanging="259"/>
      </w:pPr>
      <w:r>
        <w:rPr>
          <w:rFonts w:ascii="Aptos" w:hAnsi="Aptos"/>
          <w:color w:val="237869"/>
          <w:sz w:val="20"/>
        </w:rPr>
        <w:t xml:space="preserve">☐ </w:t>
      </w:r>
      <w:r>
        <w:rPr>
          <w:rFonts w:ascii="Aptos" w:hAnsi="Aptos"/>
          <w:sz w:val="18"/>
        </w:rPr>
        <w:t>Reference-value types are explained correctly.</w:t>
      </w:r>
    </w:p>
    <w:p>
      <w:pPr>
        <w:spacing w:after="40"/>
        <w:ind w:left="259" w:hanging="259"/>
      </w:pPr>
      <w:r>
        <w:rPr>
          <w:rFonts w:ascii="Aptos" w:hAnsi="Aptos"/>
          <w:color w:val="237869"/>
          <w:sz w:val="20"/>
        </w:rPr>
        <w:t xml:space="preserve">☐ </w:t>
      </w:r>
      <w:r>
        <w:rPr>
          <w:rFonts w:ascii="Aptos" w:hAnsi="Aptos"/>
          <w:sz w:val="18"/>
        </w:rPr>
        <w:t>Reference Intake Explorer selects verified population rows only.</w:t>
      </w:r>
    </w:p>
    <w:p>
      <w:pPr>
        <w:spacing w:after="40"/>
        <w:ind w:left="259" w:hanging="259"/>
      </w:pPr>
      <w:r>
        <w:rPr>
          <w:rFonts w:ascii="Aptos" w:hAnsi="Aptos"/>
          <w:color w:val="237869"/>
          <w:sz w:val="20"/>
        </w:rPr>
        <w:t xml:space="preserve">☐ </w:t>
      </w:r>
      <w:r>
        <w:rPr>
          <w:rFonts w:ascii="Aptos" w:hAnsi="Aptos"/>
          <w:sz w:val="18"/>
        </w:rPr>
        <w:t>No reference value is fabricated.</w:t>
      </w:r>
    </w:p>
    <w:p>
      <w:pPr>
        <w:spacing w:after="40"/>
        <w:ind w:left="259" w:hanging="259"/>
      </w:pPr>
      <w:r>
        <w:rPr>
          <w:rFonts w:ascii="Aptos" w:hAnsi="Aptos"/>
          <w:color w:val="237869"/>
          <w:sz w:val="20"/>
        </w:rPr>
        <w:t xml:space="preserve">☐ </w:t>
      </w:r>
      <w:r>
        <w:rPr>
          <w:rFonts w:ascii="Aptos" w:hAnsi="Aptos"/>
          <w:sz w:val="18"/>
        </w:rPr>
        <w:t>Percent-reference calculations state framework and population.</w:t>
      </w:r>
    </w:p>
    <w:p>
      <w:pPr>
        <w:spacing w:after="40"/>
        <w:ind w:left="259" w:hanging="259"/>
      </w:pPr>
      <w:r>
        <w:rPr>
          <w:rFonts w:ascii="Aptos" w:hAnsi="Aptos"/>
          <w:color w:val="237869"/>
          <w:sz w:val="20"/>
        </w:rPr>
        <w:t xml:space="preserve">☐ </w:t>
      </w:r>
      <w:r>
        <w:rPr>
          <w:rFonts w:ascii="Aptos" w:hAnsi="Aptos"/>
          <w:sz w:val="18"/>
        </w:rPr>
        <w:t>UL values are never shown as targets.</w:t>
      </w:r>
    </w:p>
    <w:p>
      <w:pPr>
        <w:spacing w:after="40"/>
        <w:ind w:left="259" w:hanging="259"/>
      </w:pPr>
      <w:r>
        <w:rPr>
          <w:rFonts w:ascii="Aptos" w:hAnsi="Aptos"/>
          <w:color w:val="237869"/>
          <w:sz w:val="20"/>
        </w:rPr>
        <w:t xml:space="preserve">☐ </w:t>
      </w:r>
      <w:r>
        <w:rPr>
          <w:rFonts w:ascii="Aptos" w:hAnsi="Aptos"/>
          <w:sz w:val="18"/>
        </w:rPr>
        <w:t>Food rankings use verified Phase 07 data and explicit basis.</w:t>
      </w:r>
    </w:p>
    <w:p>
      <w:pPr>
        <w:spacing w:after="40"/>
        <w:ind w:left="259" w:hanging="259"/>
      </w:pPr>
      <w:r>
        <w:rPr>
          <w:rFonts w:ascii="Aptos" w:hAnsi="Aptos"/>
          <w:color w:val="237869"/>
          <w:sz w:val="20"/>
        </w:rPr>
        <w:t xml:space="preserve">☐ </w:t>
      </w:r>
      <w:r>
        <w:rPr>
          <w:rFonts w:ascii="Aptos" w:hAnsi="Aptos"/>
          <w:sz w:val="18"/>
        </w:rPr>
        <w:t>Missing food data is never zero-filled.</w:t>
      </w:r>
    </w:p>
    <w:p>
      <w:pPr>
        <w:spacing w:after="40"/>
        <w:ind w:left="259" w:hanging="259"/>
      </w:pPr>
      <w:r>
        <w:rPr>
          <w:rFonts w:ascii="Aptos" w:hAnsi="Aptos"/>
          <w:color w:val="237869"/>
          <w:sz w:val="20"/>
        </w:rPr>
        <w:t xml:space="preserve">☐ </w:t>
      </w:r>
      <w:r>
        <w:rPr>
          <w:rFonts w:ascii="Aptos" w:hAnsi="Aptos"/>
          <w:sz w:val="18"/>
        </w:rPr>
        <w:t>Forms and equivalents are not naively combined.</w:t>
      </w:r>
    </w:p>
    <w:p>
      <w:pPr>
        <w:spacing w:after="40"/>
        <w:ind w:left="259" w:hanging="259"/>
      </w:pPr>
      <w:r>
        <w:rPr>
          <w:rFonts w:ascii="Aptos" w:hAnsi="Aptos"/>
          <w:color w:val="237869"/>
          <w:sz w:val="20"/>
        </w:rPr>
        <w:t xml:space="preserve">☐ </w:t>
      </w:r>
      <w:r>
        <w:rPr>
          <w:rFonts w:ascii="Aptos" w:hAnsi="Aptos"/>
          <w:sz w:val="18"/>
        </w:rPr>
        <w:t>Deficiency content cannot diagnose the user.</w:t>
      </w:r>
    </w:p>
    <w:p>
      <w:pPr>
        <w:spacing w:after="40"/>
        <w:ind w:left="259" w:hanging="259"/>
      </w:pPr>
      <w:r>
        <w:rPr>
          <w:rFonts w:ascii="Aptos" w:hAnsi="Aptos"/>
          <w:color w:val="237869"/>
          <w:sz w:val="20"/>
        </w:rPr>
        <w:t xml:space="preserve">☐ </w:t>
      </w:r>
      <w:r>
        <w:rPr>
          <w:rFonts w:ascii="Aptos" w:hAnsi="Aptos"/>
          <w:sz w:val="18"/>
        </w:rPr>
        <w:t>Interaction content does not change medication advice.</w:t>
      </w:r>
    </w:p>
    <w:p>
      <w:pPr>
        <w:spacing w:after="40"/>
        <w:ind w:left="259" w:hanging="259"/>
      </w:pPr>
      <w:r>
        <w:rPr>
          <w:rFonts w:ascii="Aptos" w:hAnsi="Aptos"/>
          <w:color w:val="237869"/>
          <w:sz w:val="20"/>
        </w:rPr>
        <w:t xml:space="preserve">☐ </w:t>
      </w:r>
      <w:r>
        <w:rPr>
          <w:rFonts w:ascii="Aptos" w:hAnsi="Aptos"/>
          <w:sz w:val="18"/>
        </w:rPr>
        <w:t>Training claims include evidence and limitations.</w:t>
      </w:r>
    </w:p>
    <w:p>
      <w:pPr>
        <w:spacing w:after="40"/>
        <w:ind w:left="259" w:hanging="259"/>
      </w:pPr>
      <w:r>
        <w:rPr>
          <w:rFonts w:ascii="Aptos" w:hAnsi="Aptos"/>
          <w:color w:val="237869"/>
          <w:sz w:val="20"/>
        </w:rPr>
        <w:t xml:space="preserve">☐ </w:t>
      </w:r>
      <w:r>
        <w:rPr>
          <w:rFonts w:ascii="Aptos" w:hAnsi="Aptos"/>
          <w:sz w:val="18"/>
        </w:rPr>
        <w:t>Mobile, desktop, dark mode and accessibility tests pass.</w:t>
      </w:r>
    </w:p>
    <w:p>
      <w:pPr>
        <w:spacing w:after="40"/>
        <w:ind w:left="259" w:hanging="259"/>
      </w:pPr>
      <w:r>
        <w:rPr>
          <w:rFonts w:ascii="Aptos" w:hAnsi="Aptos"/>
          <w:color w:val="237869"/>
          <w:sz w:val="20"/>
        </w:rPr>
        <w:t xml:space="preserve">☐ </w:t>
      </w:r>
      <w:r>
        <w:rPr>
          <w:rFonts w:ascii="Aptos" w:hAnsi="Aptos"/>
          <w:sz w:val="18"/>
        </w:rPr>
        <w:t>No auth, backend or remote personal-data storage is added.</w:t>
      </w:r>
    </w:p>
    <w:p>
      <w:pPr>
        <w:spacing w:after="40"/>
        <w:ind w:left="259" w:hanging="259"/>
      </w:pPr>
      <w:r>
        <w:rPr>
          <w:rFonts w:ascii="Aptos" w:hAnsi="Aptos"/>
          <w:color w:val="237869"/>
          <w:sz w:val="20"/>
        </w:rPr>
        <w:t xml:space="preserve">☐ </w:t>
      </w:r>
      <w:r>
        <w:rPr>
          <w:rFonts w:ascii="Aptos" w:hAnsi="Aptos"/>
          <w:sz w:val="18"/>
        </w:rPr>
        <w:t>Phases 00, 01 and 07 remain functional.</w:t>
      </w:r>
    </w:p>
    <w:p>
      <w:pPr>
        <w:pStyle w:val="Heading1"/>
      </w:pPr>
      <w:r>
        <w:t>40. Explicit exclusions</w:t>
      </w:r>
    </w:p>
    <w:p>
      <w:r>
        <w:rPr>
          <w:rFonts w:ascii="Aptos" w:hAnsi="Aptos"/>
          <w:sz w:val="19"/>
        </w:rPr>
        <w:t>Do not build in Phase 08:</w:t>
      </w:r>
    </w:p>
    <w:p>
      <w:pPr>
        <w:pStyle w:val="ListBullet"/>
        <w:spacing w:after="40"/>
      </w:pPr>
      <w:r>
        <w:rPr>
          <w:rFonts w:ascii="Aptos" w:hAnsi="Aptos"/>
          <w:sz w:val="18"/>
        </w:rPr>
        <w:t>Personal calorie or macro targets.</w:t>
      </w:r>
    </w:p>
    <w:p>
      <w:pPr>
        <w:pStyle w:val="ListBullet"/>
        <w:spacing w:after="40"/>
      </w:pPr>
      <w:r>
        <w:rPr>
          <w:rFonts w:ascii="Aptos" w:hAnsi="Aptos"/>
          <w:sz w:val="18"/>
        </w:rPr>
        <w:t>Meal plans.</w:t>
      </w:r>
    </w:p>
    <w:p>
      <w:pPr>
        <w:pStyle w:val="ListBullet"/>
        <w:spacing w:after="40"/>
      </w:pPr>
      <w:r>
        <w:rPr>
          <w:rFonts w:ascii="Aptos" w:hAnsi="Aptos"/>
          <w:sz w:val="18"/>
        </w:rPr>
        <w:t>Food logging.</w:t>
      </w:r>
    </w:p>
    <w:p>
      <w:pPr>
        <w:pStyle w:val="ListBullet"/>
        <w:spacing w:after="40"/>
      </w:pPr>
      <w:r>
        <w:rPr>
          <w:rFonts w:ascii="Aptos" w:hAnsi="Aptos"/>
          <w:sz w:val="18"/>
        </w:rPr>
        <w:t>Daily adherence scores.</w:t>
      </w:r>
    </w:p>
    <w:p>
      <w:pPr>
        <w:pStyle w:val="ListBullet"/>
        <w:spacing w:after="40"/>
      </w:pPr>
      <w:r>
        <w:rPr>
          <w:rFonts w:ascii="Aptos" w:hAnsi="Aptos"/>
          <w:sz w:val="18"/>
        </w:rPr>
        <w:t>Automatic deficiency detection.</w:t>
      </w:r>
    </w:p>
    <w:p>
      <w:pPr>
        <w:pStyle w:val="ListBullet"/>
        <w:spacing w:after="40"/>
      </w:pPr>
      <w:r>
        <w:rPr>
          <w:rFonts w:ascii="Aptos" w:hAnsi="Aptos"/>
          <w:sz w:val="18"/>
        </w:rPr>
        <w:t>Blood-test interpretation.</w:t>
      </w:r>
    </w:p>
    <w:p>
      <w:pPr>
        <w:pStyle w:val="ListBullet"/>
        <w:spacing w:after="40"/>
      </w:pPr>
      <w:r>
        <w:rPr>
          <w:rFonts w:ascii="Aptos" w:hAnsi="Aptos"/>
          <w:sz w:val="18"/>
        </w:rPr>
        <w:t>Medical-condition nutrition plans.</w:t>
      </w:r>
    </w:p>
    <w:p>
      <w:pPr>
        <w:pStyle w:val="ListBullet"/>
        <w:spacing w:after="40"/>
      </w:pPr>
      <w:r>
        <w:rPr>
          <w:rFonts w:ascii="Aptos" w:hAnsi="Aptos"/>
          <w:sz w:val="18"/>
        </w:rPr>
        <w:t>Supplement stack or dosage recommendations.</w:t>
      </w:r>
    </w:p>
    <w:p>
      <w:pPr>
        <w:pStyle w:val="ListBullet"/>
        <w:spacing w:after="40"/>
      </w:pPr>
      <w:r>
        <w:rPr>
          <w:rFonts w:ascii="Aptos" w:hAnsi="Aptos"/>
          <w:sz w:val="18"/>
        </w:rPr>
        <w:t>Product shopping links.</w:t>
      </w:r>
    </w:p>
    <w:p>
      <w:pPr>
        <w:pStyle w:val="ListBullet"/>
        <w:spacing w:after="40"/>
      </w:pPr>
      <w:r>
        <w:rPr>
          <w:rFonts w:ascii="Aptos" w:hAnsi="Aptos"/>
          <w:sz w:val="18"/>
        </w:rPr>
        <w:t>AI chatbot advice.</w:t>
      </w:r>
    </w:p>
    <w:p>
      <w:pPr>
        <w:pStyle w:val="ListBullet"/>
        <w:spacing w:after="40"/>
      </w:pPr>
      <w:r>
        <w:rPr>
          <w:rFonts w:ascii="Aptos" w:hAnsi="Aptos"/>
          <w:sz w:val="18"/>
        </w:rPr>
        <w:t>Cloud profiles.</w:t>
      </w:r>
    </w:p>
    <w:p>
      <w:pPr>
        <w:pStyle w:val="Heading1"/>
      </w:pPr>
      <w:r>
        <w:t>41. Required implementation deliverables</w:t>
      </w:r>
    </w:p>
    <w:p>
      <w:r>
        <w:rPr>
          <w:rFonts w:ascii="Aptos" w:hAnsi="Aptos"/>
          <w:sz w:val="19"/>
        </w:rPr>
        <w:t>Lovable must create:</w:t>
      </w:r>
    </w:p>
    <w:p>
      <w:pPr>
        <w:pStyle w:val="ListBullet"/>
        <w:spacing w:after="40"/>
      </w:pPr>
      <w:r>
        <w:rPr>
          <w:rFonts w:ascii="Aptos" w:hAnsi="Aptos"/>
          <w:sz w:val="18"/>
        </w:rPr>
        <w:t>All Phase 08 routes.</w:t>
      </w:r>
    </w:p>
    <w:p>
      <w:pPr>
        <w:pStyle w:val="ListBullet"/>
        <w:spacing w:after="40"/>
      </w:pPr>
      <w:r>
        <w:rPr>
          <w:rFonts w:ascii="Aptos" w:hAnsi="Aptos"/>
          <w:sz w:val="18"/>
        </w:rPr>
        <w:t>Nutrient catalogue and detail components.</w:t>
      </w:r>
    </w:p>
    <w:p>
      <w:pPr>
        <w:pStyle w:val="ListBullet"/>
        <w:spacing w:after="40"/>
      </w:pPr>
      <w:r>
        <w:rPr>
          <w:rFonts w:ascii="Aptos" w:hAnsi="Aptos"/>
          <w:sz w:val="18"/>
        </w:rPr>
        <w:t>Reference framework and glossary components.</w:t>
      </w:r>
    </w:p>
    <w:p>
      <w:pPr>
        <w:pStyle w:val="ListBullet"/>
        <w:spacing w:after="40"/>
      </w:pPr>
      <w:r>
        <w:rPr>
          <w:rFonts w:ascii="Aptos" w:hAnsi="Aptos"/>
          <w:sz w:val="18"/>
        </w:rPr>
        <w:t>Reference Intake Explorer.</w:t>
      </w:r>
    </w:p>
    <w:p>
      <w:pPr>
        <w:pStyle w:val="ListBullet"/>
        <w:spacing w:after="40"/>
      </w:pPr>
      <w:r>
        <w:rPr>
          <w:rFonts w:ascii="Aptos" w:hAnsi="Aptos"/>
          <w:sz w:val="18"/>
        </w:rPr>
        <w:t>Phase 07 food-source integration.</w:t>
      </w:r>
    </w:p>
    <w:p>
      <w:pPr>
        <w:pStyle w:val="ListBullet"/>
        <w:spacing w:after="40"/>
      </w:pPr>
      <w:r>
        <w:rPr>
          <w:rFonts w:ascii="Aptos" w:hAnsi="Aptos"/>
          <w:sz w:val="18"/>
        </w:rPr>
        <w:t>Static data loaders.</w:t>
      </w:r>
    </w:p>
    <w:p>
      <w:pPr>
        <w:pStyle w:val="ListBullet"/>
        <w:spacing w:after="40"/>
      </w:pPr>
      <w:r>
        <w:rPr>
          <w:rFonts w:ascii="Aptos" w:hAnsi="Aptos"/>
          <w:sz w:val="18"/>
        </w:rPr>
        <w:t>Schema validation.</w:t>
      </w:r>
    </w:p>
    <w:p>
      <w:pPr>
        <w:pStyle w:val="ListBullet"/>
        <w:spacing w:after="40"/>
      </w:pPr>
      <w:r>
        <w:rPr>
          <w:rFonts w:ascii="Aptos" w:hAnsi="Aptos"/>
          <w:sz w:val="18"/>
        </w:rPr>
        <w:t>Domain calculation functions.</w:t>
      </w:r>
    </w:p>
    <w:p>
      <w:pPr>
        <w:pStyle w:val="ListBullet"/>
        <w:spacing w:after="40"/>
      </w:pPr>
      <w:r>
        <w:rPr>
          <w:rFonts w:ascii="Aptos" w:hAnsi="Aptos"/>
          <w:sz w:val="18"/>
        </w:rPr>
        <w:t>Empty/error states.</w:t>
      </w:r>
    </w:p>
    <w:p>
      <w:pPr>
        <w:pStyle w:val="ListBullet"/>
        <w:spacing w:after="40"/>
      </w:pPr>
      <w:r>
        <w:rPr>
          <w:rFonts w:ascii="Aptos" w:hAnsi="Aptos"/>
          <w:sz w:val="18"/>
        </w:rPr>
        <w:t>Unit, integration and accessibility tests.</w:t>
      </w:r>
    </w:p>
    <w:p>
      <w:pPr>
        <w:pStyle w:val="ListBullet"/>
        <w:spacing w:after="40"/>
      </w:pPr>
      <w:r>
        <w:rPr>
          <w:rFonts w:ascii="Liberation Mono" w:hAnsi="Liberation Mono"/>
          <w:color w:val="2D3748"/>
          <w:sz w:val="16"/>
        </w:rPr>
        <w:t>docs/nutrients/METHODOLOGY.md</w:t>
      </w:r>
      <w:r>
        <w:rPr>
          <w:rFonts w:ascii="Aptos" w:hAnsi="Aptos"/>
          <w:sz w:val="18"/>
        </w:rPr>
        <w:t>.</w:t>
      </w:r>
    </w:p>
    <w:p>
      <w:pPr>
        <w:pStyle w:val="ListBullet"/>
        <w:spacing w:after="40"/>
      </w:pPr>
      <w:r>
        <w:rPr>
          <w:rFonts w:ascii="Liberation Mono" w:hAnsi="Liberation Mono"/>
          <w:color w:val="2D3748"/>
          <w:sz w:val="16"/>
        </w:rPr>
        <w:t>docs/nutrients/SOURCES.md</w:t>
      </w:r>
      <w:r>
        <w:rPr>
          <w:rFonts w:ascii="Aptos" w:hAnsi="Aptos"/>
          <w:sz w:val="18"/>
        </w:rPr>
        <w:t>.</w:t>
      </w:r>
    </w:p>
    <w:p>
      <w:pPr>
        <w:pStyle w:val="ListBullet"/>
        <w:spacing w:after="40"/>
      </w:pPr>
      <w:r>
        <w:rPr>
          <w:rFonts w:ascii="Liberation Mono" w:hAnsi="Liberation Mono"/>
          <w:color w:val="2D3748"/>
          <w:sz w:val="16"/>
        </w:rPr>
        <w:t>docs/nutrients/REFERENCE_FRAMEWORKS.md</w:t>
      </w:r>
      <w:r>
        <w:rPr>
          <w:rFonts w:ascii="Aptos" w:hAnsi="Aptos"/>
          <w:sz w:val="18"/>
        </w:rPr>
        <w:t>.</w:t>
      </w:r>
    </w:p>
    <w:p>
      <w:pPr>
        <w:pStyle w:val="ListBullet"/>
        <w:spacing w:after="40"/>
      </w:pPr>
      <w:r>
        <w:rPr>
          <w:rFonts w:ascii="Liberation Mono" w:hAnsi="Liberation Mono"/>
          <w:color w:val="2D3748"/>
          <w:sz w:val="16"/>
        </w:rPr>
        <w:t>docs/nutrients/CONTENT_REVIEW.md</w:t>
      </w:r>
      <w:r>
        <w:rPr>
          <w:rFonts w:ascii="Aptos" w:hAnsi="Aptos"/>
          <w:sz w:val="18"/>
        </w:rPr>
        <w:t>.</w:t>
      </w:r>
    </w:p>
    <w:p>
      <w:pPr>
        <w:pStyle w:val="ListBullet"/>
        <w:spacing w:after="40"/>
      </w:pPr>
      <w:r>
        <w:rPr>
          <w:rFonts w:ascii="Liberation Mono" w:hAnsi="Liberation Mono"/>
          <w:color w:val="2D3748"/>
          <w:sz w:val="16"/>
        </w:rPr>
        <w:t>docs/nutrients/TESTING.md</w:t>
      </w:r>
      <w:r>
        <w:rPr>
          <w:rFonts w:ascii="Aptos" w:hAnsi="Aptos"/>
          <w:sz w:val="18"/>
        </w:rPr>
        <w:t>.</w:t>
      </w:r>
    </w:p>
    <w:p>
      <w:pPr>
        <w:pStyle w:val="Heading1"/>
      </w:pPr>
      <w:r>
        <w:t>42. GitHub checkpoint</w:t>
      </w:r>
    </w:p>
    <w:p>
      <w:r>
        <w:rPr>
          <w:rFonts w:ascii="Aptos" w:hAnsi="Aptos"/>
          <w:sz w:val="19"/>
        </w:rPr>
        <w:t>After every acceptance criterion passes, create:</w:t>
      </w:r>
    </w:p>
    <w:p>
      <w:r>
        <w:rPr>
          <w:rFonts w:ascii="Liberation Mono" w:hAnsi="Liberation Mono"/>
          <w:color w:val="2D3748"/>
          <w:sz w:val="16"/>
        </w:rPr>
        <w:t>phase-08-nutrient-encyclopedia-complete</w:t>
      </w:r>
    </w:p>
    <w:p>
      <w:r>
        <w:rPr>
          <w:rFonts w:ascii="Aptos" w:hAnsi="Aptos"/>
          <w:sz w:val="19"/>
        </w:rPr>
        <w:t>Do not begin Phase 09 while blocking failures remain.</w:t>
      </w:r>
    </w:p>
    <w:p>
      <w:pPr>
        <w:pStyle w:val="Heading1"/>
      </w:pPr>
      <w:r>
        <w:t>43. Phase 09 handoff</w:t>
      </w:r>
    </w:p>
    <w:p>
      <w:r>
        <w:rPr>
          <w:rFonts w:ascii="Aptos" w:hAnsi="Aptos"/>
          <w:sz w:val="19"/>
        </w:rPr>
        <w:t>Phase 08 must provide Phase 09 with:</w:t>
      </w:r>
    </w:p>
    <w:p>
      <w:pPr>
        <w:pStyle w:val="ListBullet"/>
        <w:spacing w:after="40"/>
      </w:pPr>
      <w:r>
        <w:rPr>
          <w:rFonts w:ascii="Aptos" w:hAnsi="Aptos"/>
          <w:sz w:val="18"/>
        </w:rPr>
        <w:t>Stable nutrient IDs.</w:t>
      </w:r>
    </w:p>
    <w:p>
      <w:pPr>
        <w:pStyle w:val="ListBullet"/>
        <w:spacing w:after="40"/>
      </w:pPr>
      <w:r>
        <w:rPr>
          <w:rFonts w:ascii="Aptos" w:hAnsi="Aptos"/>
          <w:sz w:val="18"/>
        </w:rPr>
        <w:t>Canonical units.</w:t>
      </w:r>
    </w:p>
    <w:p>
      <w:pPr>
        <w:pStyle w:val="ListBullet"/>
        <w:spacing w:after="40"/>
      </w:pPr>
      <w:r>
        <w:rPr>
          <w:rFonts w:ascii="Aptos" w:hAnsi="Aptos"/>
          <w:sz w:val="18"/>
        </w:rPr>
        <w:t>Versioned reference frameworks.</w:t>
      </w:r>
    </w:p>
    <w:p>
      <w:pPr>
        <w:pStyle w:val="ListBullet"/>
        <w:spacing w:after="40"/>
      </w:pPr>
      <w:r>
        <w:rPr>
          <w:rFonts w:ascii="Aptos" w:hAnsi="Aptos"/>
          <w:sz w:val="18"/>
        </w:rPr>
        <w:t>Population selectors.</w:t>
      </w:r>
    </w:p>
    <w:p>
      <w:pPr>
        <w:pStyle w:val="ListBullet"/>
        <w:spacing w:after="40"/>
      </w:pPr>
      <w:r>
        <w:rPr>
          <w:rFonts w:ascii="Aptos" w:hAnsi="Aptos"/>
          <w:sz w:val="18"/>
        </w:rPr>
        <w:t>Reference-value resolution functions.</w:t>
      </w:r>
    </w:p>
    <w:p>
      <w:pPr>
        <w:pStyle w:val="ListBullet"/>
        <w:spacing w:after="40"/>
      </w:pPr>
      <w:r>
        <w:rPr>
          <w:rFonts w:ascii="Aptos" w:hAnsi="Aptos"/>
          <w:sz w:val="18"/>
        </w:rPr>
        <w:t>Equivalent and conversion rules.</w:t>
      </w:r>
    </w:p>
    <w:p>
      <w:pPr>
        <w:pStyle w:val="ListBullet"/>
        <w:spacing w:after="40"/>
      </w:pPr>
      <w:r>
        <w:rPr>
          <w:rFonts w:ascii="Aptos" w:hAnsi="Aptos"/>
          <w:sz w:val="18"/>
        </w:rPr>
        <w:t>Food-source integration.</w:t>
      </w:r>
    </w:p>
    <w:p>
      <w:pPr>
        <w:pStyle w:val="ListBullet"/>
        <w:spacing w:after="40"/>
      </w:pPr>
      <w:r>
        <w:rPr>
          <w:rFonts w:ascii="Aptos" w:hAnsi="Aptos"/>
          <w:sz w:val="18"/>
        </w:rPr>
        <w:t>Clear distinction between general references and personal targets.</w:t>
      </w:r>
    </w:p>
    <w:p>
      <w:r>
        <w:rPr>
          <w:rFonts w:ascii="Aptos" w:hAnsi="Aptos"/>
          <w:sz w:val="19"/>
        </w:rPr>
        <w:t>Phase 09 may calculate diet targets, but it must not change Phase 08’s definitions or source values.</w:t>
      </w:r>
    </w:p>
    <w:p>
      <w:pPr>
        <w:pStyle w:val="Heading1"/>
      </w:pPr>
      <w:r>
        <w:t>44. Authoritative source register</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5083"/>
            <w:shd w:fill="17374E"/>
            <w:vAlign w:val="center"/>
            <w:tcMar>
              <w:top w:w="80" w:type="dxa"/>
              <w:start w:w="100" w:type="dxa"/>
              <w:bottom w:w="80" w:type="dxa"/>
              <w:end w:w="100" w:type="dxa"/>
            </w:tcMar>
          </w:tcPr>
          <w:p>
            <w:r>
              <w:rPr>
                <w:rFonts w:ascii="Aptos" w:hAnsi="Aptos"/>
                <w:b/>
                <w:color w:val="FFFFFF"/>
                <w:sz w:val="16"/>
              </w:rPr>
              <w:t>Source</w:t>
            </w:r>
          </w:p>
        </w:tc>
        <w:tc>
          <w:tcPr>
            <w:tcW w:type="dxa" w:w="5083"/>
            <w:shd w:fill="17374E"/>
            <w:vAlign w:val="center"/>
            <w:tcMar>
              <w:top w:w="80" w:type="dxa"/>
              <w:start w:w="100" w:type="dxa"/>
              <w:bottom w:w="80" w:type="dxa"/>
              <w:end w:w="100" w:type="dxa"/>
            </w:tcMar>
          </w:tcPr>
          <w:p>
            <w:r>
              <w:rPr>
                <w:rFonts w:ascii="Aptos" w:hAnsi="Aptos"/>
                <w:b/>
                <w:color w:val="FFFFFF"/>
                <w:sz w:val="16"/>
              </w:rPr>
              <w:t>Use</w:t>
            </w:r>
          </w:p>
        </w:tc>
      </w:tr>
      <w:tr>
        <w:tc>
          <w:tcPr>
            <w:tcW w:type="dxa" w:w="5083"/>
            <w:tcMar>
              <w:top w:w="80" w:type="dxa"/>
              <w:start w:w="100" w:type="dxa"/>
              <w:bottom w:w="80" w:type="dxa"/>
              <w:end w:w="100" w:type="dxa"/>
            </w:tcMar>
            <w:vAlign w:val="top"/>
          </w:tcPr>
          <w:p>
            <w:r>
              <w:rPr>
                <w:rFonts w:ascii="Aptos" w:hAnsi="Aptos"/>
                <w:sz w:val="15"/>
              </w:rPr>
              <w:t>NIH ODS vitamin and mineral fact sheets</w:t>
            </w:r>
          </w:p>
        </w:tc>
        <w:tc>
          <w:tcPr>
            <w:tcW w:type="dxa" w:w="5083"/>
            <w:tcMar>
              <w:top w:w="80" w:type="dxa"/>
              <w:start w:w="100" w:type="dxa"/>
              <w:bottom w:w="80" w:type="dxa"/>
              <w:end w:w="100" w:type="dxa"/>
            </w:tcMar>
            <w:vAlign w:val="top"/>
          </w:tcPr>
          <w:p>
            <w:r>
              <w:rPr>
                <w:rFonts w:ascii="Aptos" w:hAnsi="Aptos"/>
                <w:sz w:val="15"/>
              </w:rPr>
              <w:t>Functions, intake tables, food sources, safety and interactions.</w:t>
            </w:r>
          </w:p>
        </w:tc>
      </w:tr>
      <w:tr>
        <w:tc>
          <w:tcPr>
            <w:tcW w:type="dxa" w:w="5083"/>
            <w:tcMar>
              <w:top w:w="80" w:type="dxa"/>
              <w:start w:w="100" w:type="dxa"/>
              <w:bottom w:w="80" w:type="dxa"/>
              <w:end w:w="100" w:type="dxa"/>
            </w:tcMar>
            <w:vAlign w:val="top"/>
            <w:shd w:fill="F5F8F9"/>
          </w:tcPr>
          <w:p>
            <w:r>
              <w:rPr>
                <w:rFonts w:ascii="Aptos" w:hAnsi="Aptos"/>
                <w:sz w:val="15"/>
              </w:rPr>
              <w:t>NIH ODS nutrient recommendations and DRI tables</w:t>
            </w:r>
          </w:p>
        </w:tc>
        <w:tc>
          <w:tcPr>
            <w:tcW w:type="dxa" w:w="5083"/>
            <w:tcMar>
              <w:top w:w="80" w:type="dxa"/>
              <w:start w:w="100" w:type="dxa"/>
              <w:bottom w:w="80" w:type="dxa"/>
              <w:end w:w="100" w:type="dxa"/>
            </w:tcMar>
            <w:vAlign w:val="top"/>
            <w:shd w:fill="F5F8F9"/>
          </w:tcPr>
          <w:p>
            <w:r>
              <w:rPr>
                <w:rFonts w:ascii="Aptos" w:hAnsi="Aptos"/>
                <w:sz w:val="15"/>
              </w:rPr>
              <w:t>Definitions and versioned US/Canada reference values.</w:t>
            </w:r>
          </w:p>
        </w:tc>
      </w:tr>
      <w:tr>
        <w:tc>
          <w:tcPr>
            <w:tcW w:type="dxa" w:w="5083"/>
            <w:tcMar>
              <w:top w:w="80" w:type="dxa"/>
              <w:start w:w="100" w:type="dxa"/>
              <w:bottom w:w="80" w:type="dxa"/>
              <w:end w:w="100" w:type="dxa"/>
            </w:tcMar>
            <w:vAlign w:val="top"/>
          </w:tcPr>
          <w:p>
            <w:r>
              <w:rPr>
                <w:rFonts w:ascii="Aptos" w:hAnsi="Aptos"/>
                <w:sz w:val="15"/>
              </w:rPr>
              <w:t>FDA Daily Values</w:t>
            </w:r>
          </w:p>
        </w:tc>
        <w:tc>
          <w:tcPr>
            <w:tcW w:type="dxa" w:w="5083"/>
            <w:tcMar>
              <w:top w:w="80" w:type="dxa"/>
              <w:start w:w="100" w:type="dxa"/>
              <w:bottom w:w="80" w:type="dxa"/>
              <w:end w:w="100" w:type="dxa"/>
            </w:tcMar>
            <w:vAlign w:val="top"/>
          </w:tcPr>
          <w:p>
            <w:r>
              <w:rPr>
                <w:rFonts w:ascii="Aptos" w:hAnsi="Aptos"/>
                <w:sz w:val="15"/>
              </w:rPr>
              <w:t>Optional label-oriented percentages.</w:t>
            </w:r>
          </w:p>
        </w:tc>
      </w:tr>
      <w:tr>
        <w:tc>
          <w:tcPr>
            <w:tcW w:type="dxa" w:w="5083"/>
            <w:tcMar>
              <w:top w:w="80" w:type="dxa"/>
              <w:start w:w="100" w:type="dxa"/>
              <w:bottom w:w="80" w:type="dxa"/>
              <w:end w:w="100" w:type="dxa"/>
            </w:tcMar>
            <w:vAlign w:val="top"/>
            <w:shd w:fill="F5F8F9"/>
          </w:tcPr>
          <w:p>
            <w:r>
              <w:rPr>
                <w:rFonts w:ascii="Aptos" w:hAnsi="Aptos"/>
                <w:sz w:val="15"/>
              </w:rPr>
              <w:t>ICMR-NIN RDA/EAR 2020</w:t>
            </w:r>
          </w:p>
        </w:tc>
        <w:tc>
          <w:tcPr>
            <w:tcW w:type="dxa" w:w="5083"/>
            <w:tcMar>
              <w:top w:w="80" w:type="dxa"/>
              <w:start w:w="100" w:type="dxa"/>
              <w:bottom w:w="80" w:type="dxa"/>
              <w:end w:w="100" w:type="dxa"/>
            </w:tcMar>
            <w:vAlign w:val="top"/>
            <w:shd w:fill="F5F8F9"/>
          </w:tcPr>
          <w:p>
            <w:r>
              <w:rPr>
                <w:rFonts w:ascii="Aptos" w:hAnsi="Aptos"/>
                <w:sz w:val="15"/>
              </w:rPr>
              <w:t>Indian framework after rights and data-use review.</w:t>
            </w:r>
          </w:p>
        </w:tc>
      </w:tr>
      <w:tr>
        <w:tc>
          <w:tcPr>
            <w:tcW w:type="dxa" w:w="5083"/>
            <w:tcMar>
              <w:top w:w="80" w:type="dxa"/>
              <w:start w:w="100" w:type="dxa"/>
              <w:bottom w:w="80" w:type="dxa"/>
              <w:end w:w="100" w:type="dxa"/>
            </w:tcMar>
            <w:vAlign w:val="top"/>
          </w:tcPr>
          <w:p>
            <w:r>
              <w:rPr>
                <w:rFonts w:ascii="Aptos" w:hAnsi="Aptos"/>
                <w:sz w:val="15"/>
              </w:rPr>
              <w:t>EFSA Dietary Reference Values</w:t>
            </w:r>
          </w:p>
        </w:tc>
        <w:tc>
          <w:tcPr>
            <w:tcW w:type="dxa" w:w="5083"/>
            <w:tcMar>
              <w:top w:w="80" w:type="dxa"/>
              <w:start w:w="100" w:type="dxa"/>
              <w:bottom w:w="80" w:type="dxa"/>
              <w:end w:w="100" w:type="dxa"/>
            </w:tcMar>
            <w:vAlign w:val="top"/>
          </w:tcPr>
          <w:p>
            <w:r>
              <w:rPr>
                <w:rFonts w:ascii="Aptos" w:hAnsi="Aptos"/>
                <w:sz w:val="15"/>
              </w:rPr>
              <w:t>Comparative European framework.</w:t>
            </w:r>
          </w:p>
        </w:tc>
      </w:tr>
      <w:tr>
        <w:tc>
          <w:tcPr>
            <w:tcW w:type="dxa" w:w="5083"/>
            <w:tcMar>
              <w:top w:w="80" w:type="dxa"/>
              <w:start w:w="100" w:type="dxa"/>
              <w:bottom w:w="80" w:type="dxa"/>
              <w:end w:w="100" w:type="dxa"/>
            </w:tcMar>
            <w:vAlign w:val="top"/>
            <w:shd w:fill="F5F8F9"/>
          </w:tcPr>
          <w:p>
            <w:r>
              <w:rPr>
                <w:rFonts w:ascii="Aptos" w:hAnsi="Aptos"/>
                <w:sz w:val="15"/>
              </w:rPr>
              <w:t>USDA FoodData Central</w:t>
            </w:r>
          </w:p>
        </w:tc>
        <w:tc>
          <w:tcPr>
            <w:tcW w:type="dxa" w:w="5083"/>
            <w:tcMar>
              <w:top w:w="80" w:type="dxa"/>
              <w:start w:w="100" w:type="dxa"/>
              <w:bottom w:w="80" w:type="dxa"/>
              <w:end w:w="100" w:type="dxa"/>
            </w:tcMar>
            <w:vAlign w:val="top"/>
            <w:shd w:fill="F5F8F9"/>
          </w:tcPr>
          <w:p>
            <w:r>
              <w:rPr>
                <w:rFonts w:ascii="Aptos" w:hAnsi="Aptos"/>
                <w:sz w:val="15"/>
              </w:rPr>
              <w:t>Verified food-composition links from Phase 07.</w:t>
            </w:r>
          </w:p>
        </w:tc>
      </w:tr>
    </w:tbl>
    <w:p>
      <w:pPr>
        <w:spacing w:after="20"/>
      </w:pPr>
    </w:p>
    <w:p>
      <w:pPr>
        <w:pStyle w:val="Heading1"/>
      </w:pPr>
      <w:r>
        <w:t>45. Final Lovable instruction</w:t>
      </w:r>
    </w:p>
    <w:p>
      <w:r>
        <w:rPr>
          <w:rFonts w:ascii="Aptos" w:hAnsi="Aptos"/>
          <w:sz w:val="19"/>
        </w:rPr>
        <w:t>Build the Nutrient Encyclopedia as a reviewed knowledge and reference system. Do not convert authoritative population references into medical prescriptions, do not invent values or symptoms, and do not compromise the local-first no-authentication architecture.</w:t>
      </w:r>
    </w:p>
    <w:sectPr w:rsidR="00FC693F" w:rsidRPr="0006063C" w:rsidSect="00034616">
      <w:headerReference w:type="default" r:id="rId9"/>
      <w:footerReference w:type="default" r:id="rId10"/>
      <w:pgSz w:w="12240" w:h="15840"/>
      <w:pgMar w:top="936" w:right="1037" w:bottom="936" w:left="1037"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46E78"/>
        <w:sz w:val="15"/>
      </w:rPr>
      <w:t>Nutrient Encyclopedia  •  Version 1.0  •  5 August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526676"/>
        <w:sz w:val="15"/>
      </w:rPr>
      <w:t>FITNESS OS  /  PHASE 08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04A41"/>
      <w:sz w:val="32"/>
      <w:szCs w:val="28"/>
    </w:rPr>
  </w:style>
  <w:style w:type="paragraph" w:styleId="Heading2">
    <w:name w:val="heading 2"/>
    <w:basedOn w:val="Normal"/>
    <w:next w:val="Normal"/>
    <w:link w:val="Heading2Char"/>
    <w:uiPriority w:val="9"/>
    <w:unhideWhenUsed/>
    <w:qFormat/>
    <w:rsid w:val="00FC693F"/>
    <w:pPr>
      <w:keepNext/>
      <w:keepLines/>
      <w:spacing w:before="180" w:after="60"/>
      <w:outlineLvl w:val="1"/>
    </w:pPr>
    <w:rPr>
      <w:rFonts w:asciiTheme="majorHAnsi" w:eastAsiaTheme="majorEastAsia" w:hAnsiTheme="majorHAnsi" w:cstheme="majorBidi" w:ascii="Aptos Display" w:hAnsi="Aptos Display"/>
      <w:b/>
      <w:bCs/>
      <w:color w:val="17374E"/>
      <w:sz w:val="25"/>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Aptos" w:hAnsi="Aptos"/>
      <w:b/>
      <w:bCs/>
      <w:color w:val="2B4A6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ptos Display" w:hAnsi="Aptos Display"/>
      <w:b/>
      <w:color w:val="102337"/>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60"/>
      <w:ind w:left="288" w:right="144"/>
    </w:pPr>
    <w:rPr>
      <w:rFonts w:ascii="Liberation Mono" w:hAnsi="Liberation Mono"/>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Phase 08 - Nutrient Encyclopedia</dc:title>
  <dc:subject>Lovable implementation specification for Fitness OS</dc:subject>
  <dc:creator>OpenAI</dc:creator>
  <cp:keywords>Fitness OS, Lovable, nutrient encyclopedia, vitamins, minerals, DRI, RDA, specification</cp:keywords>
  <dc:description>generated by python-docx</dc:description>
  <cp:lastModifiedBy/>
  <cp:revision>1</cp:revision>
  <dcterms:created xsi:type="dcterms:W3CDTF">2013-12-23T23:15:00Z</dcterms:created>
  <dcterms:modified xsi:type="dcterms:W3CDTF">2013-12-23T23:15:00Z</dcterms:modified>
  <cp:category/>
</cp:coreProperties>
</file>