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10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Изображение" id="12" name="image6.jpg"/>
            <a:graphic>
              <a:graphicData uri="http://schemas.openxmlformats.org/drawingml/2006/picture">
                <pic:pic>
                  <pic:nvPicPr>
                    <pic:cNvPr descr="Изображение"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8575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color w:val="008575"/>
          <w:rtl w:val="0"/>
        </w:rPr>
        <w:t xml:space="preserve">Semestrální práce</w:t>
      </w:r>
    </w:p>
    <w:p w:rsidR="00000000" w:rsidDel="00000000" w:rsidP="00000000" w:rsidRDefault="00000000" w:rsidRPr="00000000" w14:paraId="00000004">
      <w:pPr>
        <w:pStyle w:val="Subtitle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z předmětů testování softwaru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projekt pro testování: GameEngine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Ivan Shalaev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FEL ČVUT 2021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hyperlink r:id="rId8">
        <w:r w:rsidDel="00000000" w:rsidR="00000000" w:rsidRPr="00000000">
          <w:rPr>
            <w:rFonts w:ascii="PT Sans Narrow" w:cs="PT Sans Narrow" w:eastAsia="PT Sans Narrow" w:hAnsi="PT Sans Narrow"/>
            <w:color w:val="1155cc"/>
            <w:sz w:val="28"/>
            <w:szCs w:val="28"/>
            <w:u w:val="single"/>
            <w:rtl w:val="0"/>
          </w:rPr>
          <w:t xml:space="preserve">shalaiva@fel.cvut.cz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jc w:val="center"/>
        <w:rPr/>
      </w:pPr>
      <w:bookmarkStart w:colFirst="0" w:colLast="0" w:name="_os2ysjp9szpa" w:id="3"/>
      <w:bookmarkEnd w:id="3"/>
      <w:r w:rsidDel="00000000" w:rsidR="00000000" w:rsidRPr="00000000">
        <w:rPr>
          <w:rtl w:val="0"/>
        </w:rPr>
        <w:t xml:space="preserve">Návrh testovací strategie</w:t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cuoy7i2uvpto" w:id="4"/>
      <w:bookmarkEnd w:id="4"/>
      <w:r w:rsidDel="00000000" w:rsidR="00000000" w:rsidRPr="00000000">
        <w:rPr>
          <w:rtl w:val="0"/>
        </w:rPr>
        <w:t xml:space="preserve">Popis projektu pro testování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Projektem je jednoduchý herní engine, který jsem vytvořil v rámcích semestrální práce z předmětu PJV. Ze specifikací požadavku semestralky z PJV můžeme vyjádřit systémové požadavky projektu rozdělením původních požadavků na dílčí části.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4714875</wp:posOffset>
            </wp:positionH>
            <wp:positionV relativeFrom="paragraph">
              <wp:posOffset>247650</wp:posOffset>
            </wp:positionV>
            <wp:extent cx="1299895" cy="2357438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9895" cy="2357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3248025</wp:posOffset>
            </wp:positionH>
            <wp:positionV relativeFrom="paragraph">
              <wp:posOffset>247650</wp:posOffset>
            </wp:positionV>
            <wp:extent cx="1310633" cy="2357438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0633" cy="2357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Navíc jsem ještě implementoval jednoduchý generátor objektů na úrovni z textovou mapy. Dále jsou screenshoty mapy objektu a tilu zemi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after="240" w:before="240" w:line="276" w:lineRule="auto"/>
        <w:rPr/>
      </w:pPr>
      <w:bookmarkStart w:colFirst="0" w:colLast="0" w:name="_k70xf6f8elu5" w:id="5"/>
      <w:bookmarkEnd w:id="5"/>
      <w:r w:rsidDel="00000000" w:rsidR="00000000" w:rsidRPr="00000000">
        <w:rPr>
          <w:rtl w:val="0"/>
        </w:rPr>
        <w:t xml:space="preserve">Testovaci strategie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Samotný program byl sestaven podle architektury MVC a podle ní bych rozděloval celý program na komponenty.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192405</wp:posOffset>
            </wp:positionV>
            <wp:extent cx="3309938" cy="3582831"/>
            <wp:effectExtent b="0" l="0" r="0" t="0"/>
            <wp:wrapSquare wrapText="bothSides" distB="114300" distT="114300" distL="114300" distR="1143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35828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Tím pádem máme </w:t>
      </w:r>
      <w:r w:rsidDel="00000000" w:rsidR="00000000" w:rsidRPr="00000000">
        <w:rPr>
          <w:b w:val="1"/>
          <w:rtl w:val="0"/>
        </w:rPr>
        <w:t xml:space="preserve">části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Modul správce úrovně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Modul správce hrdiny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Modul správce nepřátele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Modul zobrazení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Modul správce souborů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procesy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Načtení soubora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Zápis do soubora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Zobrazení (grafické)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Ošetření události hrdiny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Ošetření události nepřátele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171450</wp:posOffset>
            </wp:positionV>
            <wp:extent cx="4100513" cy="4100513"/>
            <wp:effectExtent b="0" l="0" r="0" t="0"/>
            <wp:wrapSquare wrapText="bothSides" distB="114300" distT="114300" distL="114300" distR="11430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4100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Doplněná tabulka tříd rizika</w:t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2230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09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860"/>
        <w:gridCol w:w="1860"/>
        <w:gridCol w:w="1860"/>
        <w:gridCol w:w="1860"/>
        <w:tblGridChange w:id="0">
          <w:tblGrid>
            <w:gridCol w:w="1650"/>
            <w:gridCol w:w="1860"/>
            <w:gridCol w:w="1860"/>
            <w:gridCol w:w="1860"/>
            <w:gridCol w:w="1860"/>
          </w:tblGrid>
        </w:tblGridChange>
      </w:tblGrid>
      <w:tr>
        <w:trPr>
          <w:trHeight w:val="435" w:hRule="atLeast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Pravděpodobnost selhání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before="0" w:line="276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Možné poškození v případě selhání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Style w:val="Heading3"/>
        <w:numPr>
          <w:ilvl w:val="0"/>
          <w:numId w:val="4"/>
        </w:numPr>
        <w:spacing w:after="0" w:afterAutospacing="0" w:before="0" w:line="342.85714285714283" w:lineRule="auto"/>
        <w:ind w:left="720" w:hanging="360"/>
        <w:jc w:val="center"/>
        <w:rPr>
          <w:b w:val="1"/>
          <w:sz w:val="17"/>
          <w:szCs w:val="17"/>
        </w:rPr>
      </w:pPr>
      <w:bookmarkStart w:colFirst="0" w:colLast="0" w:name="_3ozwmn1vj81g" w:id="6"/>
      <w:bookmarkEnd w:id="6"/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Určení intenzity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 rámcích této semestralky budeme uvažovat Unit testy a Procesní testy. V projektu GameEngine nejsou poskytnuté souvislostí s jinými systémy a proto, v souladu s definicí, Integrační testy provázet nebudeme.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05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CRUD Matice</w:t>
      </w:r>
    </w:p>
    <w:p w:rsidR="00000000" w:rsidDel="00000000" w:rsidP="00000000" w:rsidRDefault="00000000" w:rsidRPr="00000000" w14:paraId="0000004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71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0"/>
          <w:numId w:val="7"/>
        </w:numPr>
        <w:ind w:left="720" w:hanging="360"/>
      </w:pPr>
      <w:bookmarkStart w:colFirst="0" w:colLast="0" w:name="_wdqwdhrhz79w" w:id="7"/>
      <w:bookmarkEnd w:id="7"/>
      <w:r w:rsidDel="00000000" w:rsidR="00000000" w:rsidRPr="00000000">
        <w:rPr>
          <w:rtl w:val="0"/>
        </w:rPr>
        <w:t xml:space="preserve">Testovací scénáře</w:t>
      </w:r>
    </w:p>
    <w:p w:rsidR="00000000" w:rsidDel="00000000" w:rsidP="00000000" w:rsidRDefault="00000000" w:rsidRPr="00000000" w14:paraId="00000049">
      <w:pPr>
        <w:pStyle w:val="Heading3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bookmarkStart w:colFirst="0" w:colLast="0" w:name="_ra3678e8713k" w:id="8"/>
      <w:bookmarkEnd w:id="8"/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Třídy ekvivalence pro funkci setDirection *EnemyController*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 dokumentací víme: tato funkce vrací prostou stringovou reprezentaci směrového vektoru nepřítele. Tato funkce počítá délky úseček od konce jednotkového směrového vektoru do dvou diagonálních bodu (např. do bodu UP-LEFT a UP-RIGHT), pak skládá ty hodnoty a porovnává s délkou ¼ kružnice. Když ten součet je menší, zapisuje do řetězce slovní reprezentaci směru (napr. ÚP).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3414713" cy="3414713"/>
            <wp:effectExtent b="0" l="0" r="0" t="0"/>
            <wp:wrapSquare wrapText="bothSides" distB="114300" distT="114300" distL="114300" distR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3414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Tříd ekvivalence bude 4 podle výstupů a každá bude reprezentována intervalem vektoru mezi diagonálními body V dokumentaci není jednoznačně určený mezní podmínky a proto řekneme, že vektory s končí v UP-LEFT a DOWN-LEFT patří do EC “LEFT” a vektory s konci UP-RIGHT a DOWN-RIGHT patří do EC “RIGHT”. Jedná se o jednotkových vektorech a o kružnici s r = 1. Z toho určíme vektory, generující každou EC (A = </w:t>
      </w:r>
      <m:oMath>
        <m:d>
          <m:dPr>
            <m:begChr m:val="("/>
            <m:endChr m:val=")"/>
          </m:dPr>
          <m:e>
            <m:sSubSup>
              <m:sSubSupPr>
                <m:ctrlPr>
                  <w:rPr>
                    <w:vertAlign w:val="superscript"/>
                  </w:rPr>
                </m:ctrlPr>
              </m:sSubSupPr>
              <m:e/>
              <m:sub>
                <m:r>
                  <w:rPr>
                    <w:vertAlign w:val="superscript"/>
                  </w:rPr>
                  <m:t xml:space="preserve">sin </m:t>
                </m:r>
                <m:r>
                  <w:rPr>
                    <w:vertAlign w:val="superscript"/>
                  </w:rPr>
                  <m:t>α</m:t>
                </m:r>
                <m:r>
                  <w:rPr>
                    <w:vertAlign w:val="superscript"/>
                  </w:rPr>
                  <m:t xml:space="preserve"> cos</m:t>
                </m:r>
                <m:r>
                  <w:rPr>
                    <w:vertAlign w:val="superscript"/>
                  </w:rPr>
                  <m:t>α</m:t>
                </m:r>
              </m:sub>
              <m:sup>
                <m:r>
                  <w:rPr>
                    <w:vertAlign w:val="superscript"/>
                  </w:rPr>
                  <m:t xml:space="preserve">cos </m:t>
                </m:r>
                <m:r>
                  <w:rPr>
                    <w:vertAlign w:val="superscript"/>
                  </w:rPr>
                  <m:t>α</m:t>
                </m:r>
                <m:r>
                  <w:rPr>
                    <w:vertAlign w:val="superscript"/>
                  </w:rPr>
                  <m:t xml:space="preserve"> -sin</m:t>
                </m:r>
                <m:r>
                  <w:rPr>
                    <w:vertAlign w:val="superscript"/>
                  </w:rPr>
                  <m:t>α</m:t>
                </m:r>
              </m:sup>
            </m:sSubSup>
          </m:e>
        </m:d>
      </m:oMath>
      <w:r w:rsidDel="00000000" w:rsidR="00000000" w:rsidRPr="00000000">
        <w:rPr>
          <w:rtl w:val="0"/>
        </w:rPr>
        <w:t xml:space="preserve">, v = (jednotkový) vektor s konci v UP-RIGHT) :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= 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L</m:t>
                </m:r>
              </m:sub>
            </m:sSub>
            <m:r>
              <w:rPr/>
              <m:t xml:space="preserve">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L</m:t>
                </m:r>
              </m:sub>
            </m:sSub>
            <m:r>
              <w:rPr/>
              <m:t xml:space="preserve"> =Av, 60</m:t>
            </m:r>
            <m:r>
              <w:rPr/>
              <m:t>≤</m:t>
            </m:r>
            <m:r>
              <w:rPr/>
              <m:t>α</m:t>
            </m:r>
            <m:r>
              <w:rPr/>
              <m:t>≤</m:t>
            </m:r>
            <m:r>
              <w:rPr>
                <w:vertAlign w:val="subscript"/>
              </w:rPr>
              <m:t xml:space="preserve">120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=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R</m:t>
                </m:r>
              </m:sub>
            </m:sSub>
            <m:r>
              <w:rPr/>
              <m:t xml:space="preserve">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R</m:t>
                </m:r>
              </m:sub>
            </m:sSub>
            <m:r>
              <w:rPr/>
              <m:t xml:space="preserve"> =Av, -60</m:t>
            </m:r>
            <m:r>
              <w:rPr/>
              <m:t>≤</m:t>
            </m:r>
            <m:r>
              <w:rPr/>
              <m:t>α</m:t>
            </m:r>
            <m:r>
              <w:rPr/>
              <m:t>≤</m:t>
            </m:r>
            <m:r>
              <w:rPr>
                <w:vertAlign w:val="subscript"/>
              </w:rPr>
              <m:t xml:space="preserve">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 =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U</m:t>
                </m:r>
              </m:sub>
            </m:sSub>
            <m:r>
              <w:rPr/>
              <m:t xml:space="preserve">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U</m:t>
                </m:r>
              </m:sub>
            </m:sSub>
            <m:r>
              <w:rPr/>
              <m:t xml:space="preserve"> =Av, 0&lt;</m:t>
            </m:r>
            <m:r>
              <w:rPr/>
              <m:t>α</m:t>
            </m:r>
            <m:r>
              <w:rPr>
                <w:vertAlign w:val="subscript"/>
              </w:rPr>
              <m:t xml:space="preserve">&lt;60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 =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D</m:t>
                </m:r>
              </m:sub>
            </m:sSub>
            <m:r>
              <w:rPr/>
              <m:t xml:space="preserve">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D</m:t>
                </m:r>
              </m:sub>
            </m:sSub>
            <m:r>
              <w:rPr/>
              <m:t xml:space="preserve"> =Av, -120&lt;</m:t>
            </m:r>
            <m:r>
              <w:rPr/>
              <m:t>α</m:t>
            </m:r>
            <m:r>
              <w:rPr>
                <w:vertAlign w:val="subscript"/>
              </w:rPr>
              <m:t xml:space="preserve">&lt;-60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V programu pro reprezentaci vektorů se používá třída Position mající parametry x a y. Z toho máme:</w:t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=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x, y| -1</m:t>
            </m:r>
            <m:r>
              <w:rPr/>
              <m:t>≤</m:t>
            </m:r>
            <m:r>
              <w:rPr/>
              <m:t xml:space="preserve">x</m:t>
            </m:r>
            <m:r>
              <w:rPr/>
              <m:t>≤</m:t>
            </m:r>
            <m:r>
              <w:rPr/>
              <m:t xml:space="preserve">-0.707, |y| </m:t>
            </m:r>
            <m:r>
              <w:rPr/>
              <m:t>≤</m:t>
            </m:r>
            <m:r>
              <w:rPr/>
              <m:t xml:space="preserve"> 0.707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RIGHT =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x, y| 0.707</m:t>
            </m:r>
            <m:r>
              <w:rPr/>
              <m:t>≤</m:t>
            </m:r>
            <m:r>
              <w:rPr/>
              <m:t xml:space="preserve">x</m:t>
            </m:r>
            <m:r>
              <w:rPr/>
              <m:t>≤</m:t>
            </m:r>
            <m:r>
              <w:rPr/>
              <m:t xml:space="preserve">1, |y| </m:t>
            </m:r>
            <m:r>
              <w:rPr/>
              <m:t>≤</m:t>
            </m:r>
            <m:r>
              <w:rPr/>
              <m:t xml:space="preserve"> 0.707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 =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x, y| |x|</m:t>
            </m:r>
            <m:r>
              <w:rPr/>
              <m:t>≤</m:t>
            </m:r>
            <m:r>
              <w:rPr/>
              <m:t xml:space="preserve">0.707, 0.707</m:t>
            </m:r>
            <m:r>
              <w:rPr/>
              <m:t>≤</m:t>
            </m:r>
            <m:r>
              <w:rPr/>
              <m:t xml:space="preserve">y</m:t>
            </m:r>
            <m:r>
              <w:rPr/>
              <m:t>≤</m:t>
            </m:r>
            <m:r>
              <w:rPr/>
              <m:t xml:space="preserve">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 =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x, y| |x|</m:t>
            </m:r>
            <m:r>
              <w:rPr/>
              <m:t>≤</m:t>
            </m:r>
            <m:r>
              <w:rPr/>
              <m:t xml:space="preserve">0.707, -1</m:t>
            </m:r>
            <m:r>
              <w:rPr/>
              <m:t>≤</m:t>
            </m:r>
            <m:r>
              <w:rPr/>
              <m:t xml:space="preserve">y</m:t>
            </m:r>
            <m:r>
              <w:rPr/>
              <m:t>≤</m:t>
            </m:r>
            <m:r>
              <w:rPr/>
              <m:t xml:space="preserve">-0.707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Vím, že tato funkce má triviální vstup, proto uměle zkomplikujeme vstupy a řekněme, že kromě směrového vektoru funkce bude přijímat na vstup jese 3 parametry: int a, int b, String č. Doplňková podmínka je, když a &gt; b výstup je c, jinak podle logiky funkci výše. Z toho určíme nové EC: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LEFT = 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L </m:t>
                </m:r>
              </m:sub>
            </m:sSub>
            <m:r>
              <w:rPr/>
              <m:t xml:space="preserve">,a,b,c| (a&gt;b</m:t>
            </m:r>
            <m:r>
              <w:rPr/>
              <m:t>∩</m:t>
            </m:r>
            <m:r>
              <w:rPr/>
              <m:t xml:space="preserve">c="LEFT")</m:t>
            </m:r>
            <m:r>
              <w:rPr/>
              <m:t>∪</m:t>
            </m:r>
            <m:r>
              <w:rPr/>
              <m:t xml:space="preserve">(a</m:t>
            </m:r>
            <m:r>
              <w:rPr/>
              <m:t>≤</m:t>
            </m:r>
            <m:r>
              <w:rPr/>
              <m:t xml:space="preserve"> b</m:t>
            </m:r>
            <m:r>
              <w:rPr/>
              <m:t>∩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L</m:t>
                </m:r>
              </m:sub>
            </m:sSub>
            <m:r>
              <w:rPr/>
              <m:t xml:space="preserve">=Av</m:t>
            </m:r>
            <m:r>
              <w:rPr/>
              <m:t>∩</m:t>
            </m:r>
            <m:r>
              <w:rPr/>
              <m:t xml:space="preserve">60</m:t>
            </m:r>
            <m:r>
              <w:rPr/>
              <m:t>≤</m:t>
            </m:r>
            <m:r>
              <w:rPr/>
              <m:t>α</m:t>
            </m:r>
            <m:r>
              <w:rPr/>
              <m:t>≤</m:t>
            </m:r>
            <m:r>
              <w:rPr>
                <w:vertAlign w:val="subscript"/>
              </w:rPr>
              <m:t xml:space="preserve">120</m:t>
            </m:r>
            <m:r>
              <w:rPr/>
              <m:t xml:space="preserve">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RIGHT =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R</m:t>
                </m:r>
              </m:sub>
            </m:sSub>
            <m:r>
              <w:rPr/>
              <m:t xml:space="preserve">,a,b,c| (a&gt;b</m:t>
            </m:r>
            <m:r>
              <w:rPr/>
              <m:t>∩</m:t>
            </m:r>
            <m:r>
              <w:rPr/>
              <m:t xml:space="preserve">c="RIGHT")</m:t>
            </m:r>
            <m:r>
              <w:rPr/>
              <m:t>∪</m:t>
            </m:r>
            <m:r>
              <w:rPr/>
              <m:t xml:space="preserve">(a</m:t>
            </m:r>
            <m:r>
              <w:rPr/>
              <m:t>≤</m:t>
            </m:r>
            <m:r>
              <w:rPr/>
              <m:t xml:space="preserve">b</m:t>
            </m:r>
            <m:r>
              <w:rPr/>
              <m:t>∩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R</m:t>
                </m:r>
              </m:sub>
            </m:sSub>
            <m:r>
              <w:rPr/>
              <m:t xml:space="preserve">=Av</m:t>
            </m:r>
            <m:r>
              <w:rPr/>
              <m:t>∩</m:t>
            </m:r>
            <m:r>
              <w:rPr/>
              <m:t xml:space="preserve">-60</m:t>
            </m:r>
            <m:r>
              <w:rPr/>
              <m:t>≤</m:t>
            </m:r>
            <m:r>
              <w:rPr/>
              <m:t>α</m:t>
            </m:r>
            <m:r>
              <w:rPr/>
              <m:t>≤</m:t>
            </m:r>
            <m:r>
              <w:rPr>
                <w:vertAlign w:val="subscript"/>
              </w:rPr>
              <m:t xml:space="preserve">0</m:t>
            </m:r>
            <m:r>
              <w:rPr/>
              <m:t xml:space="preserve">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UP =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U</m:t>
                </m:r>
              </m:sub>
            </m:sSub>
            <m:r>
              <w:rPr/>
              <m:t xml:space="preserve">,a,b,c|(a&gt;b</m:t>
            </m:r>
            <m:r>
              <w:rPr/>
              <m:t>∩</m:t>
            </m:r>
            <m:r>
              <w:rPr/>
              <m:t xml:space="preserve">c="UP")</m:t>
            </m:r>
            <m:r>
              <w:rPr/>
              <m:t>∪</m:t>
            </m:r>
            <m:r>
              <w:rPr/>
              <m:t xml:space="preserve">(a</m:t>
            </m:r>
            <m:r>
              <w:rPr/>
              <m:t>≤</m:t>
            </m:r>
            <m:r>
              <w:rPr/>
              <m:t xml:space="preserve">b</m:t>
            </m:r>
            <m:r>
              <w:rPr/>
              <m:t>∩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U</m:t>
                </m:r>
              </m:sub>
            </m:sSub>
            <m:r>
              <w:rPr/>
              <m:t xml:space="preserve">=Av</m:t>
            </m:r>
            <m:r>
              <w:rPr/>
              <m:t>∩</m:t>
            </m:r>
            <m:r>
              <w:rPr/>
              <m:t xml:space="preserve">0&lt;</m:t>
            </m:r>
            <m:r>
              <w:rPr/>
              <m:t>α</m:t>
            </m:r>
            <m:r>
              <w:rPr>
                <w:vertAlign w:val="subscript"/>
              </w:rPr>
              <m:t xml:space="preserve">&lt;60</m:t>
            </m:r>
            <m:r>
              <w:rPr/>
              <m:t xml:space="preserve">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DOWN =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D</m:t>
                </m:r>
              </m:sub>
            </m:sSub>
            <m:r>
              <w:rPr/>
              <m:t xml:space="preserve">,a,b,c|(a&gt;b</m:t>
            </m:r>
            <m:r>
              <w:rPr/>
              <m:t>∩</m:t>
            </m:r>
            <m:r>
              <w:rPr/>
              <m:t xml:space="preserve">c="DOWN")</m:t>
            </m:r>
            <m:r>
              <w:rPr/>
              <m:t>∪</m:t>
            </m:r>
            <m:r>
              <w:rPr/>
              <m:t xml:space="preserve">(a</m:t>
            </m:r>
            <m:r>
              <w:rPr/>
              <m:t>≤</m:t>
            </m:r>
            <m:r>
              <w:rPr/>
              <m:t xml:space="preserve">b</m:t>
            </m:r>
            <m:r>
              <w:rPr/>
              <m:t>∩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D</m:t>
                </m:r>
              </m:sub>
            </m:sSub>
            <m:r>
              <w:rPr/>
              <m:t xml:space="preserve">=Av</m:t>
            </m:r>
            <m:r>
              <w:rPr/>
              <m:t>∩</m:t>
            </m:r>
            <m:r>
              <w:rPr/>
              <m:t xml:space="preserve">-120&lt;</m:t>
            </m:r>
            <m:r>
              <w:rPr/>
              <m:t>α</m:t>
            </m:r>
            <m:r>
              <w:rPr>
                <w:vertAlign w:val="subscript"/>
              </w:rPr>
              <m:t xml:space="preserve">&lt;-60</m:t>
            </m:r>
            <m:r>
              <w:rPr/>
              <m:t xml:space="preserve">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Určíme vstupní data pokrývající všechny EC: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L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0.707</m:t>
                </m:r>
              </m:sub>
              <m:sup>
                <m:r>
                  <w:rPr/>
                  <m:t xml:space="preserve">-0.707</m:t>
                </m:r>
              </m:sup>
            </m:sSubSup>
          </m:e>
        </m:d>
      </m:oMath>
      <w:r w:rsidDel="00000000" w:rsidR="00000000" w:rsidRPr="00000000">
        <w:rPr>
          <w:rtl w:val="0"/>
        </w:rPr>
        <w:t xml:space="preserve">, </w:t>
      </w:r>
      <m:oMath/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L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-0.707</m:t>
                </m:r>
              </m:sub>
              <m:sup>
                <m:r>
                  <w:rPr/>
                  <m:t xml:space="preserve">-0.707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0" w:beforeAutospacing="0"/>
        <w:ind w:left="720" w:hanging="360"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R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0.707</m:t>
                </m:r>
              </m:sub>
              <m:sup>
                <m:r>
                  <w:rPr/>
                  <m:t xml:space="preserve">0.707</m:t>
                </m:r>
              </m:sup>
            </m:sSubSup>
          </m:e>
        </m:d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R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-0.707</m:t>
                </m:r>
              </m:sub>
              <m:sup>
                <m:r>
                  <w:rPr/>
                  <m:t xml:space="preserve">0.707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afterAutospacing="0" w:before="0" w:beforeAutospacing="0"/>
        <w:ind w:left="720" w:hanging="360"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U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1</m:t>
                </m:r>
              </m:sub>
              <m:sup>
                <m:r>
                  <w:rPr/>
                  <m:t xml:space="preserve">0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 w:before="0" w:beforeAutospacing="0"/>
        <w:ind w:left="720" w:hanging="360"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D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-1</m:t>
                </m:r>
              </m:sub>
              <m:sup>
                <m:r>
                  <w:rPr/>
                  <m:t xml:space="preserve">0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m:oMath>
        <m:r>
          <w:rPr/>
          <m:t xml:space="preserve">c="LEFT"</m:t>
        </m:r>
      </m:oMath>
      <w:r w:rsidDel="00000000" w:rsidR="00000000" w:rsidRPr="00000000">
        <w:rPr>
          <w:rtl w:val="0"/>
        </w:rPr>
        <w:t xml:space="preserve">,</w:t>
      </w:r>
      <m:oMath>
        <m:r>
          <w:rPr/>
          <m:t xml:space="preserve">c="RIGHT"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c="UP"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c="DOWN"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m:oMath>
        <m:r>
          <w:rPr/>
          <m:t xml:space="preserve">a=-1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a=1</m:t>
        </m:r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2157413</wp:posOffset>
            </wp:positionH>
            <wp:positionV relativeFrom="paragraph">
              <wp:posOffset>123825</wp:posOffset>
            </wp:positionV>
            <wp:extent cx="3633788" cy="4848835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4848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before="0" w:beforeAutospacing="0"/>
        <w:ind w:left="720" w:hanging="360"/>
      </w:pPr>
      <m:oMath>
        <m:r>
          <w:rPr/>
          <m:t xml:space="preserve">b=0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b=1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Z toho máme scénáře kde pro </w:t>
      </w:r>
      <w:r w:rsidDel="00000000" w:rsidR="00000000" w:rsidRPr="00000000">
        <w:rPr>
          <w:b w:val="1"/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platí: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afterAutospacing="0"/>
        <w:ind w:left="720" w:hanging="360"/>
      </w:pPr>
      <m:oMath>
        <m:r>
          <w:rPr/>
          <m:t xml:space="preserve">UPLEFT=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0.707</m:t>
                </m:r>
              </m:sub>
              <m:sup>
                <m:r>
                  <w:rPr/>
                  <m:t xml:space="preserve">-0.707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 w:before="0" w:beforeAutospacing="0"/>
        <w:ind w:left="720" w:hanging="360"/>
      </w:pPr>
      <m:oMath>
        <m:r>
          <w:rPr/>
          <m:t xml:space="preserve">DOWNLEFT=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-0.707</m:t>
                </m:r>
              </m:sub>
              <m:sup>
                <m:r>
                  <w:rPr/>
                  <m:t xml:space="preserve">-0.707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0" w:afterAutospacing="0" w:before="0" w:beforeAutospacing="0"/>
        <w:ind w:left="720" w:hanging="360"/>
      </w:pPr>
      <m:oMath>
        <m:r>
          <w:rPr/>
          <m:t xml:space="preserve">UPRIGHT=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0.707</m:t>
                </m:r>
              </m:sub>
              <m:sup>
                <m:r>
                  <w:rPr/>
                  <m:t xml:space="preserve">0.707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0" w:afterAutospacing="0" w:before="0" w:beforeAutospacing="0"/>
        <w:ind w:left="720" w:hanging="360"/>
      </w:pPr>
      <m:oMath>
        <m:r>
          <w:rPr/>
          <m:t xml:space="preserve">DOWNRIGHT=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-0.707</m:t>
                </m:r>
              </m:sub>
              <m:sup>
                <m:r>
                  <w:rPr/>
                  <m:t xml:space="preserve">0.707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afterAutospacing="0" w:before="0" w:beforeAutospacing="0"/>
        <w:ind w:left="720" w:hanging="360"/>
      </w:pPr>
      <m:oMath>
        <m:r>
          <w:rPr/>
          <m:t xml:space="preserve">UP=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1</m:t>
                </m:r>
              </m:sub>
              <m:sup>
                <m:r>
                  <w:rPr/>
                  <m:t xml:space="preserve">0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before="0" w:beforeAutospacing="0"/>
        <w:ind w:left="720" w:hanging="360"/>
      </w:pPr>
      <m:oMath>
        <m:r>
          <w:rPr/>
          <m:t xml:space="preserve">DOWN=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-1</m:t>
                </m:r>
              </m:sub>
              <m:sup>
                <m:r>
                  <w:rPr/>
                  <m:t xml:space="preserve">0</m:t>
                </m:r>
              </m:sup>
            </m:sSubSup>
          </m:e>
        </m:d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jc w:val="center"/>
        <w:rPr>
          <w:rFonts w:ascii="Open Sans" w:cs="Open Sans" w:eastAsia="Open Sans" w:hAnsi="Open Sans"/>
          <w:b w:val="1"/>
          <w:sz w:val="24"/>
          <w:szCs w:val="24"/>
        </w:rPr>
      </w:pPr>
      <w:bookmarkStart w:colFirst="0" w:colLast="0" w:name="_nn395xfloxh0" w:id="9"/>
      <w:bookmarkEnd w:id="9"/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Procesní diagram (ošetření události hrdniny)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3757613</wp:posOffset>
            </wp:positionH>
            <wp:positionV relativeFrom="paragraph">
              <wp:posOffset>180975</wp:posOffset>
            </wp:positionV>
            <wp:extent cx="1403297" cy="4281488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3297" cy="4281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180975</wp:posOffset>
            </wp:positionV>
            <wp:extent cx="3397077" cy="4662488"/>
            <wp:effectExtent b="0" l="0" r="0" t="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077" cy="4662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5063496</wp:posOffset>
            </wp:positionV>
            <wp:extent cx="6286500" cy="3402419"/>
            <wp:effectExtent b="0" l="0" r="0" t="0"/>
            <wp:wrapSquare wrapText="bothSides" distB="114300" distT="114300" distL="114300" distR="1143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02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pStyle w:val="Heading3"/>
        <w:jc w:val="center"/>
        <w:rPr>
          <w:rFonts w:ascii="Open Sans" w:cs="Open Sans" w:eastAsia="Open Sans" w:hAnsi="Open Sans"/>
          <w:b w:val="1"/>
          <w:sz w:val="24"/>
          <w:szCs w:val="24"/>
        </w:rPr>
      </w:pPr>
      <w:bookmarkStart w:colFirst="0" w:colLast="0" w:name="_e572c18jokqq" w:id="10"/>
      <w:bookmarkEnd w:id="10"/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Detailní testovací scénář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Parametr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Obsah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 testu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Sekvence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1-3-5-6-9-11-13-2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Název testu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ošetření události hrdiny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Hloubka detailů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Střední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Popis testu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Hrdina pohybuje se po úrovni, zmačkńe tlačítko interagování s předmětem, interagování s urovnem, interagování s inventářem a zemře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Vstupní podmínky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Živý hrdina má v inventáři předmět (kromě zbroje)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Testovací 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character.inventory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simpleDir</w:t>
            </w:r>
          </w:p>
          <w:p w:rsidR="00000000" w:rsidDel="00000000" w:rsidP="00000000" w:rsidRDefault="00000000" w:rsidRPr="00000000" w14:paraId="0000008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Očekávaný výsledek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Prázdný inventář, simpleDir=”RIGHT”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tmo04lb8qvku" w:id="11"/>
      <w:bookmarkEnd w:id="11"/>
      <w:r w:rsidDel="00000000" w:rsidR="00000000" w:rsidRPr="00000000">
        <w:rPr>
          <w:rtl w:val="0"/>
        </w:rPr>
        <w:t xml:space="preserve">Přehled implementací testů</w:t>
      </w:r>
    </w:p>
    <w:p w:rsidR="00000000" w:rsidDel="00000000" w:rsidP="00000000" w:rsidRDefault="00000000" w:rsidRPr="00000000" w14:paraId="00000085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InventoryFileHandlerTest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CharacterControllerTest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PositionTest</w:t>
        </w:r>
      </w:hyperlink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12"/>
    <w:bookmarkEnd w:id="12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11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292b2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292b2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292b2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.png"/><Relationship Id="rId21" Type="http://schemas.openxmlformats.org/officeDocument/2006/relationships/image" Target="media/image15.png"/><Relationship Id="rId24" Type="http://schemas.openxmlformats.org/officeDocument/2006/relationships/hyperlink" Target="https://gitlab.fel.cvut.cz/shalaiva/ts1-semester-work/-/blob/master/GameEngine/src/main/test/cz/cvut/fel/pjv/CharacterControllerTest.java" TargetMode="External"/><Relationship Id="rId23" Type="http://schemas.openxmlformats.org/officeDocument/2006/relationships/hyperlink" Target="https://gitlab.fel.cvut.cz/shalaiva/ts1-semester-work/-/blob/master/GameEngine/src/main/test/cz/cvut/fel/pjv/InventoryFileHandlerTest.jav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eader" Target="header1.xml"/><Relationship Id="rId25" Type="http://schemas.openxmlformats.org/officeDocument/2006/relationships/hyperlink" Target="https://gitlab.fel.cvut.cz/shalaiva/ts1-semester-work/-/blob/master/GameEngine/src/main/test/cz/cvut/fel/pjv/Model/PositionTest.java" TargetMode="External"/><Relationship Id="rId28" Type="http://schemas.openxmlformats.org/officeDocument/2006/relationships/footer" Target="foot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jpg"/><Relationship Id="rId8" Type="http://schemas.openxmlformats.org/officeDocument/2006/relationships/hyperlink" Target="mailto:shalaiva@fel.cvut.cz" TargetMode="Externa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5" Type="http://schemas.openxmlformats.org/officeDocument/2006/relationships/image" Target="media/image16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19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