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Compact"/>
        <w:numPr>
          <w:ilvl w:val="0"/>
          <w:numId w:val="1001"/>
        </w:numPr>
      </w:pPr>
      <w:r>
        <w:t xml:space="preserve">Corpus Pipeline Architecture Review.md</w:t>
      </w:r>
    </w:p>
    <w:p>
      <w:pPr>
        <w:pStyle w:val="Compact"/>
        <w:numPr>
          <w:ilvl w:val="0"/>
          <w:numId w:val="1001"/>
        </w:numPr>
      </w:pPr>
      <w:r>
        <w:t xml:space="preserve">COLD_AI_REVIEW_HANDOFF_GPT6_2026-10-15.md</w:t>
      </w:r>
    </w:p>
    <w:p>
      <w:pPr>
        <w:pStyle w:val="Compact"/>
        <w:numPr>
          <w:ilvl w:val="0"/>
          <w:numId w:val="1001"/>
        </w:numPr>
      </w:pPr>
      <w:r>
        <w:t xml:space="preserve">ID_AND_YAML_SPEC_v0.2_GPT6_REVIEW.md</w:t>
      </w:r>
    </w:p>
    <w:p>
      <w:pPr>
        <w:pStyle w:val="Compact"/>
        <w:numPr>
          <w:ilvl w:val="0"/>
          <w:numId w:val="1001"/>
        </w:numPr>
      </w:pPr>
      <w:r>
        <w:t xml:space="preserve">PAPER_LIFECYCLE_CHECKLIST_v0.2_GPT6_REVIEW.md</w:t>
      </w:r>
    </w:p>
    <w:p>
      <w:pPr>
        <w:pStyle w:val="Compact"/>
        <w:numPr>
          <w:ilvl w:val="0"/>
          <w:numId w:val="1001"/>
        </w:numPr>
      </w:pPr>
      <w:r>
        <w:t xml:space="preserve">PAPER_LIFECYCLE_MAP_v0.2_GPT6_REVIEW.md</w:t>
      </w:r>
    </w:p>
    <w:p>
      <w:pPr>
        <w:pStyle w:val="FirstParagraph"/>
      </w:pPr>
      <w:r>
        <w:t xml:space="preserve">Okay tell me what u think</w:t>
      </w:r>
    </w:p>
    <w:p>
      <w:r>
        <w:pict>
          <v:rect style="width:0;height:1.5pt" o:hralign="center" o:hrstd="t" o:hr="t"/>
        </w:pict>
      </w:r>
    </w:p>
    <w:p>
      <w:pPr>
        <w:pStyle w:val="FirstParagraph"/>
      </w:pPr>
      <w:r>
        <w:rPr>
          <w:b/>
          <w:bCs/>
        </w:rPr>
        <w:t xml:space="preserve">Kimi:</w:t>
      </w:r>
    </w:p>
    <w:p>
      <w:pPr>
        <w:pStyle w:val="a0"/>
      </w:pPr>
      <w:r>
        <w:t xml:space="preserve">Good packet — and the fact that GPT-6 and Gemini landed on mostly the same blocking list independently is real signal, not echo. Here’s my honest read.</w:t>
      </w:r>
    </w:p>
    <w:p>
      <w:pPr>
        <w:pStyle w:val="a0"/>
      </w:pPr>
      <w:r>
        <w:rPr>
          <w:b/>
          <w:bCs/>
        </w:rPr>
        <w:t xml:space="preserve">Verdict on the verdicts: CONDITIONAL is correct, and both reviewers agree on the right next move — the 3-decision spine ruling (S2 canon store, S3 atom maker, sidecar-vs-header) plus the MIM vertical slice before any new stations. I endorse that. But the interesting part is where they fight, and who’s right.</w:t>
      </w:r>
    </w:p>
    <w:p>
      <w:pPr>
        <w:pStyle w:val="a0"/>
      </w:pPr>
      <w:r>
        <w:rPr>
          <w:b/>
          <w:bCs/>
        </w:rPr>
        <w:t xml:space="preserve">Gemini wins both dissents.</w:t>
      </w:r>
    </w:p>
    <w:p>
      <w:pPr>
        <w:numPr>
          <w:ilvl w:val="0"/>
          <w:numId w:val="1002"/>
        </w:numPr>
      </w:pPr>
      <w:r>
        <w:rPr>
          <w:b/>
          <w:bCs/>
        </w:rPr>
        <w:t xml:space="preserve">Declaration register hedging (R1.E0).</w:t>
      </w:r>
      <w:r>
        <w:t xml:space="preserve"> </w:t>
      </w:r>
      <w:r>
        <w:t xml:space="preserve">GPT-6 wanted OPEN claims visibly qualified inside the public prose. That directly violates your two-register ruling — declaration is unhedged, canon is graded, the audit lives off-page. Forcing</w:t>
      </w:r>
      <w:r>
        <w:t xml:space="preserve"> </w:t>
      </w:r>
      <w:r>
        <w:t xml:space="preserve">“</w:t>
      </w:r>
      <w:r>
        <w:t xml:space="preserve">tentatively hypothesized that…</w:t>
      </w:r>
      <w:r>
        <w:t xml:space="preserve">”</w:t>
      </w:r>
      <w:r>
        <w:t xml:space="preserve"> </w:t>
      </w:r>
      <w:r>
        <w:t xml:space="preserve">into every paragraph turns your public pieces into the AI slop you’re explicitly building against. The right fix is exactly what Gemini says: unhedged prose for CANON</w:t>
      </w:r>
      <w:r>
        <w:t xml:space="preserve"> </w:t>
      </w:r>
      <w:r>
        <w:rPr>
          <w:i/>
          <w:iCs/>
        </w:rPr>
        <w:t xml:space="preserve">and</w:t>
      </w:r>
      <w:r>
        <w:t xml:space="preserve"> </w:t>
      </w:r>
      <w:r>
        <w:t xml:space="preserve">OPEN, the epistemic frame stated once up top, and the CANON/OPEN badge living in the HTML margin layer. Reject GPT-6’s version.</w:t>
      </w:r>
    </w:p>
    <w:p>
      <w:pPr>
        <w:numPr>
          <w:ilvl w:val="0"/>
          <w:numId w:val="1002"/>
        </w:numPr>
      </w:pPr>
      <w:r>
        <w:rPr>
          <w:b/>
          <w:bCs/>
        </w:rPr>
        <w:t xml:space="preserve">Copyright cap on the private reading room.</w:t>
      </w:r>
      <w:r>
        <w:t xml:space="preserve"> </w:t>
      </w:r>
      <w:r>
        <w:t xml:space="preserve">GPT-6’s blanket</w:t>
      </w:r>
      <w:r>
        <w:t xml:space="preserve"> </w:t>
      </w:r>
      <w:r>
        <w:t xml:space="preserve">“</w:t>
      </w:r>
      <w:r>
        <w:t xml:space="preserve">no length cap is unsafe</w:t>
      </w:r>
      <w:r>
        <w:t xml:space="preserve">”</w:t>
      </w:r>
      <w:r>
        <w:t xml:space="preserve"> </w:t>
      </w:r>
      <w:r>
        <w:t xml:space="preserve">is over-policing a private local workbench on your own hardware. Fair-use gates belong at Stage 20 public render, not Stage 8 private ingestion. Gemini is right.</w:t>
      </w:r>
    </w:p>
    <w:p>
      <w:pPr>
        <w:pStyle w:val="FirstParagraph"/>
      </w:pPr>
      <w:r>
        <w:rPr>
          <w:b/>
          <w:bCs/>
        </w:rPr>
        <w:t xml:space="preserve">Gemini also caught the two highest-stakes schema defects, and both are load-bearing for your corpus specifically:</w:t>
      </w:r>
    </w:p>
    <w:p>
      <w:pPr>
        <w:pStyle w:val="Compact"/>
        <w:numPr>
          <w:ilvl w:val="0"/>
          <w:numId w:val="1003"/>
        </w:numPr>
      </w:pPr>
      <w:r>
        <w:rPr>
          <w:b/>
          <w:bCs/>
        </w:rPr>
        <w:t xml:space="preserve">Stance polarity on</w:t>
      </w:r>
      <w:r>
        <w:rPr>
          <w:b/>
          <w:bCs/>
        </w:rPr>
        <w:t xml:space="preserve"> </w:t>
      </w:r>
      <w:r>
        <w:rPr>
          <w:rStyle w:val="VerbatimChar"/>
          <w:b/>
          <w:bCs/>
        </w:rPr>
        <w:t xml:space="preserve">.m</w:t>
      </w:r>
      <w:r>
        <w:rPr>
          <w:b/>
          <w:bCs/>
        </w:rPr>
        <w:t xml:space="preserve"> </w:t>
      </w:r>
      <w:r>
        <w:rPr>
          <w:b/>
          <w:bCs/>
        </w:rPr>
        <w:t xml:space="preserve">mentions.</w:t>
      </w:r>
      <w:r>
        <w:t xml:space="preserve"> </w:t>
      </w:r>
      <w:r>
        <w:t xml:space="preserve">You write Summa-order — objections at full strength before the answer. Without</w:t>
      </w:r>
      <w:r>
        <w:t xml:space="preserve"> </w:t>
      </w:r>
      <w:r>
        <w:rPr>
          <w:rStyle w:val="VerbatimChar"/>
        </w:rPr>
        <w:t xml:space="preserve">stance: asserts | denies | quotes_opponent</w:t>
      </w:r>
      <w:r>
        <w:t xml:space="preserve">, the corpus scanner will record that your papers</w:t>
      </w:r>
      <w:r>
        <w:t xml:space="preserve"> </w:t>
      </w:r>
      <w:r>
        <w:rPr>
          <w:i/>
          <w:iCs/>
        </w:rPr>
        <w:t xml:space="preserve">assert</w:t>
      </w:r>
      <w:r>
        <w:t xml:space="preserve"> </w:t>
      </w:r>
      <w:r>
        <w:t xml:space="preserve">the very claims you’re refuting, and</w:t>
      </w:r>
      <w:r>
        <w:t xml:space="preserve"> </w:t>
      </w:r>
      <w:r>
        <w:t xml:space="preserve">“</w:t>
      </w:r>
      <w:r>
        <w:t xml:space="preserve">which papers support C-00412?</w:t>
      </w:r>
      <w:r>
        <w:t xml:space="preserve">”</w:t>
      </w:r>
      <w:r>
        <w:t xml:space="preserve"> </w:t>
      </w:r>
      <w:r>
        <w:t xml:space="preserve">queries become garbage. This one’s a BLOCKER.</w:t>
      </w:r>
    </w:p>
    <w:p>
      <w:pPr>
        <w:pStyle w:val="Compact"/>
        <w:numPr>
          <w:ilvl w:val="0"/>
          <w:numId w:val="1003"/>
        </w:numPr>
      </w:pPr>
      <w:r>
        <w:rPr>
          <w:b/>
          <w:bCs/>
        </w:rPr>
        <w:t xml:space="preserve">Conjoint premises (hyper-edges).</w:t>
      </w:r>
      <w:r>
        <w:t xml:space="preserve"> </w:t>
      </w:r>
      <w:r>
        <w:t xml:space="preserve">Binary</w:t>
      </w:r>
      <w:r>
        <w:t xml:space="preserve"> </w:t>
      </w:r>
      <w:r>
        <w:rPr>
          <w:rStyle w:val="VerbatimChar"/>
        </w:rPr>
        <w:t xml:space="preserve">depends_on</w:t>
      </w:r>
      <w:r>
        <w:t xml:space="preserve"> </w:t>
      </w:r>
      <w:r>
        <w:t xml:space="preserve">can’t tell</w:t>
      </w:r>
      <w:r>
        <w:t xml:space="preserve"> </w:t>
      </w:r>
      <w:r>
        <w:t xml:space="preserve">“</w:t>
      </w:r>
      <w:r>
        <w:t xml:space="preserve">C needs A</w:t>
      </w:r>
      <w:r>
        <w:t xml:space="preserve"> </w:t>
      </w:r>
      <w:r>
        <w:rPr>
          <w:i/>
          <w:iCs/>
        </w:rPr>
        <w:t xml:space="preserve">and</w:t>
      </w:r>
      <w:r>
        <w:t xml:space="preserve"> </w:t>
      </w:r>
      <w:r>
        <w:t xml:space="preserve">B together</w:t>
      </w:r>
      <w:r>
        <w:t xml:space="preserve">”</w:t>
      </w:r>
      <w:r>
        <w:t xml:space="preserve"> </w:t>
      </w:r>
      <w:r>
        <w:t xml:space="preserve">from</w:t>
      </w:r>
      <w:r>
        <w:t xml:space="preserve"> </w:t>
      </w:r>
      <w:r>
        <w:t xml:space="preserve">“</w:t>
      </w:r>
      <w:r>
        <w:t xml:space="preserve">C has two independent proofs.</w:t>
      </w:r>
      <w:r>
        <w:t xml:space="preserve">”</w:t>
      </w:r>
      <w:r>
        <w:t xml:space="preserve"> </w:t>
      </w:r>
      <w:r>
        <w:t xml:space="preserve">Without a</w:t>
      </w:r>
      <w:r>
        <w:t xml:space="preserve"> </w:t>
      </w:r>
      <w:r>
        <w:rPr>
          <w:rStyle w:val="VerbatimChar"/>
        </w:rPr>
        <w:t xml:space="preserve">warrant_group_id</w:t>
      </w:r>
      <w:r>
        <w:t xml:space="preserve">, retiring one premise can’t compute whether C actually falls. This is the entire point of dependency tracking (Stage 13), so it blocks G3 too.</w:t>
      </w:r>
    </w:p>
    <w:p>
      <w:pPr>
        <w:pStyle w:val="FirstParagraph"/>
      </w:pPr>
      <w:r>
        <w:rPr>
          <w:b/>
          <w:bCs/>
        </w:rPr>
        <w:t xml:space="preserve">Where both reviewers are thin, and what I’d add:</w:t>
      </w:r>
    </w:p>
    <w:p>
      <w:pPr>
        <w:pStyle w:val="Compact"/>
        <w:numPr>
          <w:ilvl w:val="0"/>
          <w:numId w:val="1004"/>
        </w:numPr>
      </w:pPr>
      <w:r>
        <w:rPr>
          <w:b/>
          <w:bCs/>
        </w:rPr>
        <w:t xml:space="preserve">The rewrite-anchoring problem nobody named.</w:t>
      </w:r>
      <w:r>
        <w:t xml:space="preserve"> </w:t>
      </w:r>
      <w:r>
        <w:t xml:space="preserve">Gemini’s re-sequencing (Triage</w:t>
      </w:r>
      <w:r>
        <w:t xml:space="preserve"> </w:t>
      </w:r>
      <w:r>
        <w:rPr>
          <w:i/>
          <w:iCs/>
        </w:rPr>
        <w:t xml:space="preserve">before</w:t>
      </w:r>
      <w:r>
        <w:t xml:space="preserve"> </w:t>
      </w:r>
      <w:r>
        <w:t xml:space="preserve">Lean) is correct — don’t formalize an overstated draft sentence, formalize the defensible rewrite. But the consequence isn’t free: the</w:t>
      </w:r>
      <w:r>
        <w:t xml:space="preserve"> </w:t>
      </w:r>
      <w:r>
        <w:rPr>
          <w:rStyle w:val="VerbatimChar"/>
        </w:rPr>
        <w:t xml:space="preserve">.m</w:t>
      </w:r>
      <w:r>
        <w:t xml:space="preserve"> </w:t>
      </w:r>
      <w:r>
        <w:t xml:space="preserve">spans pinned in Stage 2 were computed against the</w:t>
      </w:r>
      <w:r>
        <w:t xml:space="preserve"> </w:t>
      </w:r>
      <w:r>
        <w:rPr>
          <w:i/>
          <w:iCs/>
        </w:rPr>
        <w:t xml:space="preserve">draft</w:t>
      </w:r>
      <w:r>
        <w:t xml:space="preserve"> </w:t>
      </w:r>
      <w:r>
        <w:t xml:space="preserve">text. Once Triage produces the rewrite (C-00403 → C-00404), the occurrence anchors have to be recomputed or the new claim gets pinned to spans it doesn’t occupy. Gemini’s slice handles this implicitly; the resequencing makes it mandatory machinery, not a fixture detail.</w:t>
      </w:r>
    </w:p>
    <w:p>
      <w:pPr>
        <w:pStyle w:val="Compact"/>
        <w:numPr>
          <w:ilvl w:val="0"/>
          <w:numId w:val="1004"/>
        </w:numPr>
      </w:pPr>
      <w:r>
        <w:rPr>
          <w:b/>
          <w:bCs/>
        </w:rPr>
        <w:t xml:space="preserve">“</w:t>
      </w:r>
      <w:r>
        <w:rPr>
          <w:b/>
          <w:bCs/>
        </w:rPr>
        <w:t xml:space="preserve">Truth atoms: 50–100 short true statements per paper</w:t>
      </w:r>
      <w:r>
        <w:rPr>
          <w:b/>
          <w:bCs/>
        </w:rPr>
        <w:t xml:space="preserve">”</w:t>
      </w:r>
      <w:r>
        <w:rPr>
          <w:b/>
          <w:bCs/>
        </w:rPr>
        <w:t xml:space="preserve"> </w:t>
      </w:r>
      <w:r>
        <w:rPr>
          <w:b/>
          <w:bCs/>
        </w:rPr>
        <w:t xml:space="preserve">(Checklist §2) went untouched by both.</w:t>
      </w:r>
      <w:r>
        <w:t xml:space="preserve"> </w:t>
      </w:r>
      <w:r>
        <w:t xml:space="preserve">That’s the most dangerous unexamined line in the whole checklist —</w:t>
      </w:r>
      <w:r>
        <w:t xml:space="preserve"> </w:t>
      </w:r>
      <w:r>
        <w:t xml:space="preserve">“</w:t>
      </w:r>
      <w:r>
        <w:t xml:space="preserve">true</w:t>
      </w:r>
      <w:r>
        <w:t xml:space="preserve">”</w:t>
      </w:r>
      <w:r>
        <w:t xml:space="preserve"> </w:t>
      </w:r>
      <w:r>
        <w:t xml:space="preserve">by what warrant, verified by whom? It needs the same Lean-style firewall grammar as the +10 rule or it becomes unverifiable filler that inflates the ledger. I’d flag it for a ruling.</w:t>
      </w:r>
    </w:p>
    <w:p>
      <w:pPr>
        <w:pStyle w:val="Compact"/>
        <w:numPr>
          <w:ilvl w:val="0"/>
          <w:numId w:val="1004"/>
        </w:numPr>
      </w:pPr>
      <w:r>
        <w:rPr>
          <w:b/>
          <w:bCs/>
        </w:rPr>
        <w:t xml:space="preserve">S3 has a better answer than</w:t>
      </w:r>
      <w:r>
        <w:rPr>
          <w:b/>
          <w:bCs/>
        </w:rPr>
        <w:t xml:space="preserve"> </w:t>
      </w:r>
      <w:r>
        <w:rPr>
          <w:b/>
          <w:bCs/>
        </w:rPr>
        <w:t xml:space="preserve">“</w:t>
      </w:r>
      <w:r>
        <w:rPr>
          <w:b/>
          <w:bCs/>
        </w:rPr>
        <w:t xml:space="preserve">collapse to one.</w:t>
      </w:r>
      <w:r>
        <w:rPr>
          <w:b/>
          <w:bCs/>
        </w:rPr>
        <w:t xml:space="preserve">”</w:t>
      </w:r>
      <w:r>
        <w:t xml:space="preserve"> </w:t>
      </w:r>
      <w:r>
        <w:t xml:space="preserve">GPT-6’s R3 got it right: keep 45 and 62 running as</w:t>
      </w:r>
      <w:r>
        <w:t xml:space="preserve"> </w:t>
      </w:r>
      <w:r>
        <w:rPr>
          <w:i/>
          <w:iCs/>
        </w:rPr>
        <w:t xml:space="preserve">candidate extractors</w:t>
      </w:r>
      <w:r>
        <w:t xml:space="preserve"> </w:t>
      </w:r>
      <w:r>
        <w:t xml:space="preserve">and give one service exclusive minting authority. That preserves your multi-lane taste (parallel lanes catch what one model misses) while fixing the collision. One atom maker is wrong; one mint is right.</w:t>
      </w:r>
    </w:p>
    <w:p>
      <w:pPr>
        <w:pStyle w:val="Compact"/>
        <w:numPr>
          <w:ilvl w:val="0"/>
          <w:numId w:val="1004"/>
        </w:numPr>
      </w:pPr>
      <w:r>
        <w:rPr>
          <w:b/>
          <w:bCs/>
        </w:rPr>
        <w:t xml:space="preserve">Sidecar fix has a spec-consistency tail.</w:t>
      </w:r>
      <w:r>
        <w:t xml:space="preserve"> </w:t>
      </w:r>
      <w:r>
        <w:t xml:space="preserve">“</w:t>
      </w:r>
      <w:r>
        <w:t xml:space="preserve">The scan fills in the YAML header for every file</w:t>
      </w:r>
      <w:r>
        <w:t xml:space="preserve">”</w:t>
      </w:r>
      <w:r>
        <w:t xml:space="preserve"> </w:t>
      </w:r>
      <w:r>
        <w:t xml:space="preserve">appears in multiple places; if you adopt sidecars, every occurrence of that language has to move in the same edit, and the rebuild-script ledger check has to compare sidecar-vs-ledger, not header-vs-ledger. Otherwise you’ve fixed the hash bug and left the spec contradicting itself.</w:t>
      </w:r>
    </w:p>
    <w:p>
      <w:pPr>
        <w:pStyle w:val="FirstParagraph"/>
      </w:pPr>
      <w:r>
        <w:rPr>
          <w:b/>
          <w:bCs/>
        </w:rPr>
        <w:t xml:space="preserve">The one thing I’d push back on slightly:</w:t>
      </w:r>
      <w:r>
        <w:t xml:space="preserve"> </w:t>
      </w:r>
      <w:r>
        <w:t xml:space="preserve">the Map says S2 first</w:t>
      </w:r>
      <w:r>
        <w:t xml:space="preserve"> </w:t>
      </w:r>
      <w:r>
        <w:t xml:space="preserve">“</w:t>
      </w:r>
      <w:r>
        <w:t xml:space="preserve">because rulings have nowhere to land.</w:t>
      </w:r>
      <w:r>
        <w:t xml:space="preserve">”</w:t>
      </w:r>
      <w:r>
        <w:t xml:space="preserve"> </w:t>
      </w:r>
      <w:r>
        <w:t xml:space="preserve">I’d argue you can’t actually build S2’s schema without S3’s atom schema decided (the canon store holds C-records; it needs to know what a C-record is), so don’t sequence them — decide all three in one ruling session since they’re entangled, then run the slice. The slice is the real gate: Gemini’s T-01 through T-05 are the right acceptance tests, and the</w:t>
      </w:r>
      <w:r>
        <w:t xml:space="preserve"> </w:t>
      </w:r>
      <w:r>
        <w:rPr>
          <w:rStyle w:val="VerbatimChar"/>
        </w:rPr>
        <w:t xml:space="preserve">theorem math_is_moral : True := trivial</w:t>
      </w:r>
      <w:r>
        <w:t xml:space="preserve"> </w:t>
      </w:r>
      <w:r>
        <w:t xml:space="preserve">firewall test costs you an afternoon.</w:t>
      </w:r>
    </w:p>
    <w:p>
      <w:pPr>
        <w:pStyle w:val="a0"/>
      </w:pPr>
      <w:r>
        <w:t xml:space="preserve">Bottom line: adopt Gemini’s dissents over GPT-6 on both counts, adopt the stance + warrant_group schema changes, run the 3-decision ruling as one session, and treat the MIM-SLICE-01 fixture plus T-01..T-05 as the definition of done before any new station gets built.</w:t>
      </w:r>
    </w:p>
    <w:p>
      <w:r>
        <w:pict>
          <v:rect style="width:0;height:1.5pt" o:hralign="center" o:hrstd="t" o:hr="t"/>
        </w:pict>
      </w:r>
    </w:p>
    <w:p>
      <w:pPr>
        <w:pStyle w:val="FirstParagraph"/>
      </w:pPr>
      <w:r>
        <w:rPr>
          <w:b/>
          <w:bCs/>
        </w:rPr>
        <w:t xml:space="preserve">User:</w:t>
      </w:r>
    </w:p>
    <w:p>
      <w:pPr>
        <w:pStyle w:val="a0"/>
      </w:pPr>
      <w:r>
        <w:t xml:space="preserve">Anything else you want to add? If not, I’m just gonna. Keep this as kind of. Your contribution and go to the next AI and I’ll probably make one more round. With all the AIS.</w:t>
      </w:r>
    </w:p>
    <w:p>
      <w:r>
        <w:pict>
          <v:rect style="width:0;height:1.5pt" o:hralign="center" o:hrstd="t" o:hr="t"/>
        </w:pict>
      </w:r>
    </w:p>
    <w:p>
      <w:pPr>
        <w:pStyle w:val="FirstParagraph"/>
      </w:pPr>
      <w:r>
        <w:rPr>
          <w:b/>
          <w:bCs/>
        </w:rPr>
        <w:t xml:space="preserve">Kimi:</w:t>
      </w:r>
    </w:p>
    <w:p>
      <w:pPr>
        <w:pStyle w:val="a0"/>
      </w:pPr>
      <w:r>
        <w:t xml:space="preserve">Just one thing worth leaving in the packet for the next AI — three acceptance tests neither reviewer wrote, aimed at the defects I flagged. Append to GPT-6’s R5 list:</w:t>
      </w:r>
    </w:p>
    <w:p>
      <w:pPr>
        <w:pStyle w:val="a0"/>
      </w:pPr>
      <w:r>
        <w:rPr>
          <w:b/>
          <w:bCs/>
        </w:rPr>
        <w:t xml:space="preserve">Proposed tests — Kimi (2026-10-15):</w:t>
      </w:r>
      <w:r>
        <w:t xml:space="preserve"> </w:t>
      </w:r>
      <w:r>
        <w:t xml:space="preserve">-</w:t>
      </w:r>
      <w:r>
        <w:t xml:space="preserve"> </w:t>
      </w:r>
      <w:r>
        <w:rPr>
          <w:b/>
          <w:bCs/>
        </w:rPr>
        <w:t xml:space="preserve">T-11 (Triage rewrite anchoring):</w:t>
      </w:r>
      <w:r>
        <w:t xml:space="preserve"> </w:t>
      </w:r>
      <w:r>
        <w:t xml:space="preserve">Run a draft containing an overstated claim through Triage. The defensible rewrite must enter as a</w:t>
      </w:r>
      <w:r>
        <w:t xml:space="preserve"> </w:t>
      </w:r>
      <w:r>
        <w:rPr>
          <w:i/>
          <w:iCs/>
        </w:rPr>
        <w:t xml:space="preserve">new</w:t>
      </w:r>
      <w:r>
        <w:t xml:space="preserve"> </w:t>
      </w:r>
      <w:r>
        <w:t xml:space="preserve">C-record with occurrence anchors recomputed against the rewrite text; the original atom’s spans must still resolve exactly against the draft. Fails if the rewrite inherits the draft’s character offsets or silently replaces the original atom.</w:t>
      </w:r>
      <w:r>
        <w:t xml:space="preserve"> </w:t>
      </w:r>
      <w:r>
        <w:t xml:space="preserve">-</w:t>
      </w:r>
      <w:r>
        <w:t xml:space="preserve"> </w:t>
      </w:r>
      <w:r>
        <w:rPr>
          <w:b/>
          <w:bCs/>
        </w:rPr>
        <w:t xml:space="preserve">T-12 (Stance polarity):</w:t>
      </w:r>
      <w:r>
        <w:t xml:space="preserve"> </w:t>
      </w:r>
      <w:r>
        <w:t xml:space="preserve">Ingest a paragraph where an opposing claim is stated at full strength Summa-style before being answered. The corpus query</w:t>
      </w:r>
      <w:r>
        <w:t xml:space="preserve"> </w:t>
      </w:r>
      <w:r>
        <w:t xml:space="preserve">“</w:t>
      </w:r>
      <w:r>
        <w:t xml:space="preserve">which papers assert C?</w:t>
      </w:r>
      <w:r>
        <w:t xml:space="preserve">”</w:t>
      </w:r>
      <w:r>
        <w:t xml:space="preserve"> </w:t>
      </w:r>
      <w:r>
        <w:t xml:space="preserve">must exclude it. Fails if it’s indexed without</w:t>
      </w:r>
      <w:r>
        <w:t xml:space="preserve"> </w:t>
      </w:r>
      <w:r>
        <w:rPr>
          <w:rStyle w:val="VerbatimChar"/>
        </w:rPr>
        <w:t xml:space="preserve">stance</w:t>
      </w:r>
      <w:r>
        <w:t xml:space="preserve"> </w:t>
      </w:r>
      <w:r>
        <w:t xml:space="preserve">or defaults to</w:t>
      </w:r>
      <w:r>
        <w:t xml:space="preserve"> </w:t>
      </w:r>
      <w:r>
        <w:rPr>
          <w:rStyle w:val="VerbatimChar"/>
        </w:rPr>
        <w:t xml:space="preserve">asserts</w:t>
      </w:r>
      <w:r>
        <w:t xml:space="preserve">.</w:t>
      </w:r>
      <w:r>
        <w:t xml:space="preserve"> </w:t>
      </w:r>
      <w:r>
        <w:t xml:space="preserve">-</w:t>
      </w:r>
      <w:r>
        <w:t xml:space="preserve"> </w:t>
      </w:r>
      <w:r>
        <w:rPr>
          <w:b/>
          <w:bCs/>
        </w:rPr>
        <w:t xml:space="preserve">T-13 (Truth-atom warrant gate):</w:t>
      </w:r>
      <w:r>
        <w:t xml:space="preserve"> </w:t>
      </w:r>
      <w:r>
        <w:t xml:space="preserve">Attempt to register a</w:t>
      </w:r>
      <w:r>
        <w:t xml:space="preserve"> </w:t>
      </w:r>
      <w:r>
        <w:t xml:space="preserve">“</w:t>
      </w:r>
      <w:r>
        <w:t xml:space="preserve">truth atom</w:t>
      </w:r>
      <w:r>
        <w:t xml:space="preserve">”</w:t>
      </w:r>
      <w:r>
        <w:t xml:space="preserve"> </w:t>
      </w:r>
      <w:r>
        <w:t xml:space="preserve">with no warrant class and no receipt. It must be quarantined, not admitted to the truth-atom ledger. Fails if anything can enter that ledger bare.</w:t>
      </w:r>
    </w:p>
    <w:p>
      <w:pPr>
        <w:pStyle w:val="a0"/>
      </w:pPr>
      <w:r>
        <w:t xml:space="preserve">And my clean verdict block for the record:</w:t>
      </w:r>
    </w:p>
    <w:p>
      <w:pPr>
        <w:pStyle w:val="SourceCode"/>
      </w:pPr>
      <w:r>
        <w:rPr>
          <w:rStyle w:val="FunctionTok"/>
        </w:rPr>
        <w:t xml:space="preserve">reviewer</w:t>
      </w:r>
      <w:r>
        <w:rPr>
          <w:rStyle w:val="KeywordTok"/>
        </w:rPr>
        <w:t xml:space="preserve">:</w:t>
      </w:r>
      <w:r>
        <w:rPr>
          <w:rStyle w:val="AttributeTok"/>
        </w:rPr>
        <w:t xml:space="preserve"> </w:t>
      </w:r>
      <w:r>
        <w:rPr>
          <w:rStyle w:val="StringTok"/>
        </w:rPr>
        <w:t xml:space="preserve">'Kimi (Moonshot) — third pass, read both prior reviews'</w:t>
      </w:r>
      <w:r>
        <w:br/>
      </w:r>
      <w:r>
        <w:rPr>
          <w:rStyle w:val="FunctionTok"/>
        </w:rPr>
        <w:t xml:space="preserve">reviewed_at_utc</w:t>
      </w:r>
      <w:r>
        <w:rPr>
          <w:rStyle w:val="KeywordTok"/>
        </w:rPr>
        <w:t xml:space="preserve">:</w:t>
      </w:r>
      <w:r>
        <w:rPr>
          <w:rStyle w:val="AttributeTok"/>
        </w:rPr>
        <w:t xml:space="preserve"> </w:t>
      </w:r>
      <w:r>
        <w:rPr>
          <w:rStyle w:val="StringTok"/>
        </w:rPr>
        <w:t xml:space="preserve">'2026-10-15T17:29:00Z'</w:t>
      </w:r>
      <w:r>
        <w:br/>
      </w:r>
      <w:r>
        <w:rPr>
          <w:rStyle w:val="FunctionTok"/>
        </w:rPr>
        <w:t xml:space="preserve">verdict</w:t>
      </w:r>
      <w:r>
        <w:rPr>
          <w:rStyle w:val="KeywordTok"/>
        </w:rPr>
        <w:t xml:space="preserve">:</w:t>
      </w:r>
      <w:r>
        <w:rPr>
          <w:rStyle w:val="AttributeTok"/>
        </w:rPr>
        <w:t xml:space="preserve"> CONDITIONAL</w:t>
      </w:r>
      <w:r>
        <w:br/>
      </w:r>
      <w:r>
        <w:rPr>
          <w:rStyle w:val="FunctionTok"/>
        </w:rPr>
        <w:t xml:space="preserve">concurring_blockers</w:t>
      </w:r>
      <w:r>
        <w:rPr>
          <w:rStyle w:val="KeywordTok"/>
        </w:rPr>
        <w:t xml:space="preserve">:</w:t>
      </w:r>
      <w:r>
        <w:rPr>
          <w:rStyle w:val="AttributeTok"/>
        </w:rPr>
        <w:t xml:space="preserve"> </w:t>
      </w:r>
      <w:r>
        <w:rPr>
          <w:rStyle w:val="KeywordTok"/>
        </w:rPr>
        <w:t xml:space="preserve">[</w:t>
      </w:r>
      <w:r>
        <w:rPr>
          <w:rStyle w:val="AttributeTok"/>
        </w:rPr>
        <w:t xml:space="preserve">S2/S3 write-authority</w:t>
      </w:r>
      <w:r>
        <w:rPr>
          <w:rStyle w:val="KeywordTok"/>
        </w:rPr>
        <w:t xml:space="preserve">,</w:t>
      </w:r>
      <w:r>
        <w:rPr>
          <w:rStyle w:val="AttributeTok"/>
        </w:rPr>
        <w:t xml:space="preserve"> sidecar SHA</w:t>
      </w:r>
      <w:r>
        <w:rPr>
          <w:rStyle w:val="DecValTok"/>
        </w:rPr>
        <w:t xml:space="preserve">-256</w:t>
      </w:r>
      <w:r>
        <w:rPr>
          <w:rStyle w:val="KeywordTok"/>
        </w:rPr>
        <w:t xml:space="preserve">,</w:t>
      </w:r>
      <w:r>
        <w:rPr>
          <w:rStyle w:val="AttributeTok"/>
        </w:rPr>
        <w:t xml:space="preserve"> Lean +10 scope firewall</w:t>
      </w:r>
      <w:r>
        <w:rPr>
          <w:rStyle w:val="KeywordTok"/>
        </w:rPr>
        <w:t xml:space="preserve">,</w:t>
      </w:r>
      <w:r>
        <w:rPr>
          <w:rStyle w:val="AttributeTok"/>
        </w:rPr>
        <w:t xml:space="preserve"> embedding-dedup</w:t>
      </w:r>
      <w:r>
        <w:rPr>
          <w:rStyle w:val="KeywordTok"/>
        </w:rPr>
        <w:t xml:space="preserve">,</w:t>
      </w:r>
      <w:r>
        <w:rPr>
          <w:rStyle w:val="AttributeTok"/>
        </w:rPr>
        <w:t xml:space="preserve"> stance polarity</w:t>
      </w:r>
      <w:r>
        <w:rPr>
          <w:rStyle w:val="KeywordTok"/>
        </w:rPr>
        <w:t xml:space="preserve">,</w:t>
      </w:r>
      <w:r>
        <w:rPr>
          <w:rStyle w:val="AttributeTok"/>
        </w:rPr>
        <w:t xml:space="preserve"> warrant_group</w:t>
      </w:r>
      <w:r>
        <w:rPr>
          <w:rStyle w:val="KeywordTok"/>
        </w:rPr>
        <w:t xml:space="preserve">,</w:t>
      </w:r>
      <w:r>
        <w:rPr>
          <w:rStyle w:val="AttributeTok"/>
        </w:rPr>
        <w:t xml:space="preserve"> post-rebuild diff gate</w:t>
      </w:r>
      <w:r>
        <w:rPr>
          <w:rStyle w:val="KeywordTok"/>
        </w:rPr>
        <w:t xml:space="preserve">]</w:t>
      </w:r>
      <w:r>
        <w:br/>
      </w:r>
      <w:r>
        <w:rPr>
          <w:rStyle w:val="FunctionTok"/>
        </w:rPr>
        <w:t xml:space="preserve">dissent</w:t>
      </w:r>
      <w:r>
        <w:rPr>
          <w:rStyle w:val="KeywordTok"/>
        </w:rPr>
        <w:t xml:space="preserve">:</w:t>
      </w:r>
      <w:r>
        <w:rPr>
          <w:rStyle w:val="AttributeTok"/>
        </w:rPr>
        <w:t xml:space="preserve"> </w:t>
      </w:r>
      <w:r>
        <w:rPr>
          <w:rStyle w:val="StringTok"/>
        </w:rPr>
        <w:t xml:space="preserve">'Side with Gemini over GPT-6 on both dissents: keep declaration register unhedged (epistemic status lives in frame + UI margin layer), and keep no length cap in the private reading room (fair-use gate belongs at Stage 20 public render only).'</w:t>
      </w:r>
      <w:r>
        <w:br/>
      </w:r>
      <w:r>
        <w:rPr>
          <w:rStyle w:val="FunctionTok"/>
        </w:rPr>
        <w:t xml:space="preserve">new_defects</w:t>
      </w:r>
      <w:r>
        <w:rPr>
          <w:rStyle w:val="KeywordTok"/>
        </w:rPr>
        <w:t xml:space="preserve">:</w:t>
      </w:r>
      <w:r>
        <w:rPr>
          <w:rStyle w:val="AttributeTok"/>
        </w:rPr>
        <w:t xml:space="preserve"> </w:t>
      </w:r>
      <w:r>
        <w:rPr>
          <w:rStyle w:val="KeywordTok"/>
        </w:rPr>
        <w:t xml:space="preserve">[</w:t>
      </w:r>
      <w:r>
        <w:rPr>
          <w:rStyle w:val="StringTok"/>
        </w:rPr>
        <w:t xml:space="preserve">'Triage rewrite breaks Stage-2 occurrence anchors unless re-anchoring is mandatory machinery'</w:t>
      </w:r>
      <w:r>
        <w:rPr>
          <w:rStyle w:val="KeywordTok"/>
        </w:rPr>
        <w:t xml:space="preserve">,</w:t>
      </w:r>
      <w:r>
        <w:rPr>
          <w:rStyle w:val="AttributeTok"/>
        </w:rPr>
        <w:t xml:space="preserve"> </w:t>
      </w:r>
      <w:r>
        <w:rPr>
          <w:rStyle w:val="StringTok"/>
        </w:rPr>
        <w:t xml:space="preserve">'Checklist §2 truth atoms (50–100/paper) has no warrant grammar — needs the Lean-style firewall or quarantine'</w:t>
      </w:r>
      <w:r>
        <w:rPr>
          <w:rStyle w:val="KeywordTok"/>
        </w:rPr>
        <w:t xml:space="preserve">,</w:t>
      </w:r>
      <w:r>
        <w:rPr>
          <w:rStyle w:val="AttributeTok"/>
        </w:rPr>
        <w:t xml:space="preserve"> </w:t>
      </w:r>
      <w:r>
        <w:rPr>
          <w:rStyle w:val="StringTok"/>
        </w:rPr>
        <w:t xml:space="preserve">'S3 should be "one mint, many extractors," not "one atom maker" — preserves multi-lane'</w:t>
      </w:r>
      <w:r>
        <w:rPr>
          <w:rStyle w:val="KeywordTok"/>
        </w:rPr>
        <w:t xml:space="preserve">]</w:t>
      </w:r>
      <w:r>
        <w:br/>
      </w:r>
      <w:r>
        <w:rPr>
          <w:rStyle w:val="FunctionTok"/>
        </w:rPr>
        <w:t xml:space="preserve">recommended_next_action</w:t>
      </w:r>
      <w:r>
        <w:rPr>
          <w:rStyle w:val="KeywordTok"/>
        </w:rPr>
        <w:t xml:space="preserve">:</w:t>
      </w:r>
      <w:r>
        <w:rPr>
          <w:rStyle w:val="AttributeTok"/>
        </w:rPr>
        <w:t xml:space="preserve"> </w:t>
      </w:r>
      <w:r>
        <w:rPr>
          <w:rStyle w:val="StringTok"/>
        </w:rPr>
        <w:t xml:space="preserve">'Single ruling session for S1/S2/S3 as one entangled decision, then MIM-SLICE-01 with T-01..T-13 as the definition of done before any new station.'</w:t>
      </w:r>
    </w:p>
    <w:p>
      <w:pPr>
        <w:pStyle w:val="FirstParagraph"/>
      </w:pPr>
      <w:r>
        <w:t xml:space="preserve">That’s my contribution. Good packet — the convergence across two independent models on the blocking list is the strongest signal in it. Ready for the next AI.</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2026-10-15T17:31:10Z</dcterms:created>
  <dcterms:modified xsi:type="dcterms:W3CDTF">2026-10-15T17:31:10Z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617mhb2ulb3drt1t12g-1a1409b0-8142-85db-8000-099e1b5345ff-20261016013110","ReservedCode1":"","ContentPropagator":"001191110108MACG2KBH8F20000","PropagateID":"d617mhb2ulb3drt1t12g-1a1409b0-8142-85db-8000-099e1b5345ff-20261016013110","ReservedCode2":""}</vt:lpwstr>
  </property>
</Properties>
</file>