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461C5742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2B04D41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248F88FD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258A25C2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40246C23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75ECCDFF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701DCA5F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3A60C577" w:rsidR="00DA7717" w:rsidRDefault="004D1E9A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3B3B41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4D1E9A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1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2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2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3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3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4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4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4D1E9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4D1E9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4D1E9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4D1E9A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4D1E9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4D1E9A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4D1E9A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4D1E9A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4D1E9A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5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5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6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6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4D1E9A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4D1E9A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4D1E9A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7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7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1C6CC1B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9A3C22">
        <w:rPr>
          <w:rFonts w:hint="eastAsia"/>
          <w:szCs w:val="21"/>
        </w:rPr>
        <w:t>不相关</w:t>
      </w:r>
      <w:r w:rsidR="008E69B2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DF518E1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ov(X,X)=D(X)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8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8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0DAC6C1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=D(X)</m:t>
        </m:r>
        <m:r>
          <w:rPr>
            <w:rFonts w:ascii="Cambria Math" w:hAnsi="Cambria Math" w:hint="eastAsia"/>
            <w:kern w:val="0"/>
            <w:szCs w:val="21"/>
          </w:rPr>
          <m:t>/2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4D1E9A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600D79ED" w14:textId="40C9505F" w:rsidR="00093EBB" w:rsidRPr="008737B7" w:rsidRDefault="00093EBB" w:rsidP="00E61590">
      <w:pPr>
        <w:pStyle w:val="ac"/>
      </w:pPr>
      <w:bookmarkStart w:id="9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9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4D1E9A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4D1E9A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10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10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4D1E9A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lastRenderedPageBreak/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样本均值的分布"/>
      <w:r w:rsidRPr="00AA3D06">
        <w:rPr>
          <w:rFonts w:hint="eastAsia"/>
          <w:szCs w:val="21"/>
        </w:rPr>
        <w:t>样本均值的分布</w:t>
      </w:r>
      <w:bookmarkEnd w:id="11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4D1E9A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4D1E9A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4D1E9A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4D1E9A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4D1E9A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4D1E9A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DB2AE61" w14:textId="77777777" w:rsidR="00F67CA0" w:rsidRPr="00F67CA0" w:rsidRDefault="00F67CA0" w:rsidP="00F67CA0">
      <w:pPr>
        <w:rPr>
          <w:rFonts w:asciiTheme="majorHAnsi" w:hAnsiTheme="majorHAnsi" w:cstheme="majorBidi"/>
          <w:szCs w:val="32"/>
          <w:u w:val="single"/>
        </w:rPr>
      </w:pPr>
      <w:bookmarkStart w:id="13" w:name="_Toc21719462"/>
      <w:r w:rsidRPr="00F67CA0">
        <w:br w:type="page"/>
      </w: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4D1E9A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4D1E9A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4D1E9A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4D1E9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1523D0CF" w:rsidR="006D2437" w:rsidRDefault="0048751E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4D2F2B6E" w:rsidR="003C3010" w:rsidRPr="00AC1087" w:rsidRDefault="004D1E9A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4D1E9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4D1E9A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4D1E9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4D1E9A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4D1E9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4D1E9A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4D1E9A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4D1E9A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4D1E9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4D1E9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4D1E9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4D1E9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5DBFCAC8" w:rsidR="006D2437" w:rsidRDefault="00C945B4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U=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4D1E9A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4D1E9A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4D1E9A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4D1E9A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4D1E9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4D1E9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4D1E9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4D1E9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4D1E9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3668A861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B68D37A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4D1E9A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175BC4C7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014F" w14:textId="77777777" w:rsidR="004D1E9A" w:rsidRDefault="004D1E9A" w:rsidP="00D77713">
      <w:r>
        <w:separator/>
      </w:r>
    </w:p>
  </w:endnote>
  <w:endnote w:type="continuationSeparator" w:id="0">
    <w:p w14:paraId="1578CE04" w14:textId="77777777" w:rsidR="004D1E9A" w:rsidRDefault="004D1E9A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02EB0" w14:textId="77777777" w:rsidR="004D1E9A" w:rsidRDefault="004D1E9A" w:rsidP="00D77713">
      <w:r>
        <w:separator/>
      </w:r>
    </w:p>
  </w:footnote>
  <w:footnote w:type="continuationSeparator" w:id="0">
    <w:p w14:paraId="12AF634F" w14:textId="77777777" w:rsidR="004D1E9A" w:rsidRDefault="004D1E9A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3474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1C32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3B41"/>
    <w:rsid w:val="003B463E"/>
    <w:rsid w:val="003B4D48"/>
    <w:rsid w:val="003C3010"/>
    <w:rsid w:val="003C3B60"/>
    <w:rsid w:val="003C5308"/>
    <w:rsid w:val="003C7149"/>
    <w:rsid w:val="003C72FE"/>
    <w:rsid w:val="003D090D"/>
    <w:rsid w:val="003D156F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8751E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1E9A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4506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49F8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0471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4024"/>
    <w:rsid w:val="00906886"/>
    <w:rsid w:val="00906A41"/>
    <w:rsid w:val="0090761D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77F6A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A3C22"/>
    <w:rsid w:val="009B2035"/>
    <w:rsid w:val="009B2AF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2A72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45B4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4415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1E3B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E864-557F-4E5F-A884-AFF173B3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2255</Words>
  <Characters>12857</Characters>
  <Application>Microsoft Office Word</Application>
  <DocSecurity>0</DocSecurity>
  <Lines>107</Lines>
  <Paragraphs>30</Paragraphs>
  <ScaleCrop>false</ScaleCrop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194</cp:revision>
  <cp:lastPrinted>2019-12-09T13:39:00Z</cp:lastPrinted>
  <dcterms:created xsi:type="dcterms:W3CDTF">2019-10-05T08:05:00Z</dcterms:created>
  <dcterms:modified xsi:type="dcterms:W3CDTF">2019-12-09T13:44:00Z</dcterms:modified>
</cp:coreProperties>
</file>