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66119C3C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45F2924D" w:rsidR="00FC7918" w:rsidRPr="00FC7918" w:rsidRDefault="007C4B1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7F212B71" w:rsidR="00FC7918" w:rsidRPr="00FC7918" w:rsidRDefault="007C4B1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46F57F7C" w:rsidR="00FC7918" w:rsidRPr="00FC7918" w:rsidRDefault="007C4B1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55B0EBCD" w:rsidR="00FC7918" w:rsidRPr="00FC7918" w:rsidRDefault="007C4B1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2D116F73" w:rsidR="00FC7918" w:rsidRPr="00FC7918" w:rsidRDefault="007C4B1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7C4B14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638B03FA" w14:textId="7A6FEA74" w:rsidR="00EA6F3E" w:rsidRPr="00EA6F3E" w:rsidRDefault="007C4B14" w:rsidP="00F64E76">
      <w:pPr>
        <w:pStyle w:val="a3"/>
        <w:numPr>
          <w:ilvl w:val="0"/>
          <w:numId w:val="3"/>
        </w:numPr>
        <w:ind w:firstLineChars="0"/>
      </w:pPr>
      <w:hyperlink r:id="rId6" w:history="1">
        <w:r w:rsidR="00A41567" w:rsidRPr="007E4DE9">
          <w:rPr>
            <w:rStyle w:val="a5"/>
            <w:rFonts w:hint="eastAsia"/>
          </w:rPr>
          <w:t>八大常见类型的行列式及其解法</w:t>
        </w:r>
      </w:hyperlink>
    </w:p>
    <w:p w14:paraId="043553D6" w14:textId="3EAF3B84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7C4B14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7C4B14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2C96B223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0CA5AD7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  <m:oMath>
        <m:r>
          <w:rPr>
            <w:rFonts w:ascii="Cambria Math" w:hAnsi="Cambria Math"/>
          </w:rPr>
          <m:t>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38D18BF6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7C4B14">
        <w:rPr>
          <w:rFonts w:hint="eastAsia"/>
        </w:rPr>
        <w:t xml:space="preserve"> </w:t>
      </w:r>
      <w:r w:rsidR="007C4B14"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C4B14">
        <w:rPr>
          <w:rFonts w:hint="eastAsia"/>
        </w:rPr>
        <w:t>的</w:t>
      </w:r>
      <w:r w:rsidR="007C4B14">
        <w:rPr>
          <w:rFonts w:hint="eastAsia"/>
        </w:rPr>
        <w:t>向量空间</w:t>
      </w:r>
      <w:bookmarkStart w:id="3" w:name="_GoBack"/>
      <w:bookmarkEnd w:id="3"/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6455D6CC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7C4B14" w:rsidRPr="00C50F85">
        <w:t>A与E等价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7C4B14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4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4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7C4B14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5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5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7C4B14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（唯一，但坐标变换不唯一）</w:t>
      </w:r>
    </w:p>
    <w:p w14:paraId="6377852B" w14:textId="080C47B6" w:rsidR="00814479" w:rsidRDefault="00814479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723D2121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C91B7E">
        <w:rPr>
          <w:rFonts w:hint="eastAsia"/>
        </w:rPr>
        <w:t>将</w:t>
      </w:r>
      <w:r w:rsidR="007572B5">
        <w:rPr>
          <w:rFonts w:hint="eastAsia"/>
        </w:rPr>
        <w:t>非平方项提取公因式然后</w:t>
      </w:r>
      <w:r w:rsidR="00A176E2">
        <w:rPr>
          <w:rFonts w:hint="eastAsia"/>
        </w:rPr>
        <w:t>配成完全平方项，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等价，合同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3643"/>
    <w:rsid w:val="006F46B8"/>
    <w:rsid w:val="006F6ABC"/>
    <w:rsid w:val="00700289"/>
    <w:rsid w:val="007057E9"/>
    <w:rsid w:val="00705885"/>
    <w:rsid w:val="00710712"/>
    <w:rsid w:val="00712C58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B1772"/>
    <w:rsid w:val="007C4B14"/>
    <w:rsid w:val="007C6796"/>
    <w:rsid w:val="007C7713"/>
    <w:rsid w:val="007E194F"/>
    <w:rsid w:val="007E4DE9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40C3C"/>
    <w:rsid w:val="008436D6"/>
    <w:rsid w:val="00852FA4"/>
    <w:rsid w:val="00861F46"/>
    <w:rsid w:val="00871876"/>
    <w:rsid w:val="008736BE"/>
    <w:rsid w:val="00882F49"/>
    <w:rsid w:val="008841BE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41567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76C7"/>
    <w:rsid w:val="00B74C8B"/>
    <w:rsid w:val="00B92461"/>
    <w:rsid w:val="00B97790"/>
    <w:rsid w:val="00BB0127"/>
    <w:rsid w:val="00BD1997"/>
    <w:rsid w:val="00BD3072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933F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A6F3E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0843;&#22823;&#24120;&#35265;&#31867;&#22411;&#30340;&#34892;&#21015;&#24335;&#21450;&#20854;&#35299;&#27861;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11E04-0C0A-473B-A422-1E48A7DD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</TotalTime>
  <Pages>3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379</cp:revision>
  <cp:lastPrinted>2019-10-24T06:57:00Z</cp:lastPrinted>
  <dcterms:created xsi:type="dcterms:W3CDTF">2019-07-05T10:32:00Z</dcterms:created>
  <dcterms:modified xsi:type="dcterms:W3CDTF">2019-10-24T09:04:00Z</dcterms:modified>
</cp:coreProperties>
</file>