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Урок номер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сторінку з профілями перукарів.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на аватарку будь-якого перукаря.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Спостерігати перехід на неправильну сторінку.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результат;</w:t>
        <w:br w:type="textWrapping"/>
      </w:r>
      <w:r w:rsidDel="00000000" w:rsidR="00000000" w:rsidRPr="00000000">
        <w:rPr>
          <w:rtl w:val="0"/>
        </w:rPr>
        <w:t xml:space="preserve"> При натисканні на аватарки перукарів (Ellen and Jeff Hunt, Theresa Baggett, Krissy Kaylor) відбувається перехід на ліву, яка не має жодного відношення до поточного сайту.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При кліку на аватарки повинна відкриватися відповідна інформація про перукаря або інший релевантний контент на сайті, а не переходити на сторонню або нерелевантну сторінку.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Вплив:</w:t>
        <w:br w:type="textWrapping"/>
      </w:r>
      <w:r w:rsidDel="00000000" w:rsidR="00000000" w:rsidRPr="00000000">
        <w:rPr>
          <w:rtl w:val="0"/>
        </w:rPr>
        <w:t xml:space="preserve"> Користувачі втрачають контекст і не можуть отримати необхідну інформацію про спеціалістів, що погіршує зручність користування сайтом і викликає недовіру.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Баг 2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сторінку сайту.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Прокрутити до футера.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на номер телефону.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Звернути увагу на появу вікна з пропозицією відкрити Microsoft Edge і перехід на некоректну сторінку.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результат;</w:t>
        <w:br w:type="textWrapping"/>
      </w:r>
      <w:r w:rsidDel="00000000" w:rsidR="00000000" w:rsidRPr="00000000">
        <w:rPr>
          <w:rtl w:val="0"/>
        </w:rPr>
        <w:t xml:space="preserve"> У футері сайту при натисканні на номер телефону замість того, щоб відкрити телефонний додаток або показати контактну інформацію, з’являється вікно з пропозицією відкрити додаток "Microsoft Edge" і користувача перенаправляє на зовсім іншу сторінку, що не має відношення до сайту.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результат;</w:t>
        <w:br w:type="textWrapping"/>
      </w:r>
      <w:r w:rsidDel="00000000" w:rsidR="00000000" w:rsidRPr="00000000">
        <w:rPr>
          <w:rtl w:val="0"/>
        </w:rPr>
        <w:t xml:space="preserve"> При натисканні на номер телефону має відкриватися телефонний набір (на мобільних пристроях) або показуватися коректна контактна інформація, без переходу на сторонні ресурси або інші додатки.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Вплив:</w:t>
        <w:br w:type="textWrapping"/>
      </w:r>
      <w:r w:rsidDel="00000000" w:rsidR="00000000" w:rsidRPr="00000000">
        <w:rPr>
          <w:rtl w:val="0"/>
        </w:rPr>
        <w:t xml:space="preserve"> Користувачі не можуть швидко зв’язатися з компанією, що погіршує користувацький досвід і викликає недовіру до сайту.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Баг 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будь-який розділ сайту.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на логотип у верхньому лівому куті.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Звернути увагу, що переходу на головну сторінку не відбувається.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</w:t>
        <w:br w:type="textWrapping"/>
      </w:r>
      <w:r w:rsidDel="00000000" w:rsidR="00000000" w:rsidRPr="00000000">
        <w:rPr>
          <w:rtl w:val="0"/>
        </w:rPr>
        <w:t xml:space="preserve"> Логотип сайту у верхньому лівому куті (ножиці з написом "Headhunter Hairstyling") не клікабельний і не повертає користувача на головну сторінку сайту, що порушує стандартний користувацький досвід.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результат;</w:t>
        <w:br w:type="textWrapping"/>
      </w:r>
      <w:r w:rsidDel="00000000" w:rsidR="00000000" w:rsidRPr="00000000">
        <w:rPr>
          <w:rtl w:val="0"/>
        </w:rPr>
        <w:t xml:space="preserve"> При натисканні на логотип користувач повинен повертатися на головну сторінку сайту.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Вплив:</w:t>
        <w:br w:type="textWrapping"/>
      </w:r>
      <w:r w:rsidDel="00000000" w:rsidR="00000000" w:rsidRPr="00000000">
        <w:rPr>
          <w:rtl w:val="0"/>
        </w:rPr>
        <w:t xml:space="preserve"> Користувачі не можуть швидко повернутися на головну сторінку через логотип, що погіршує навігацію і зручність використання сайту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https://beetroot.academy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 &lt;meta charset="utf-8"&gt;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https://microseniors76.com/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 charset=iso-8859-1"&gt;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&lt;meta charset="macintosh"&gt;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https://www.fidelity.com/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charset=iso-8859-1"&gt;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155cc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nnis-warehouse.com/" TargetMode="External"/><Relationship Id="rId10" Type="http://schemas.openxmlformats.org/officeDocument/2006/relationships/hyperlink" Target="https://microseniors76.com/" TargetMode="External"/><Relationship Id="rId12" Type="http://schemas.openxmlformats.org/officeDocument/2006/relationships/hyperlink" Target="https://www.fidelity.com/" TargetMode="External"/><Relationship Id="rId9" Type="http://schemas.openxmlformats.org/officeDocument/2006/relationships/hyperlink" Target="https://beetroot.academy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