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0A0D1A"/>
          <w:sz w:val="72"/>
          <w:szCs w:val="72"/>
        </w:rPr>
        <w:t xml:space="preserve">OPEYEMI AKINLADE</w:t>
      </w:r>
    </w:p>
    <w:p>
      <w:pPr>
        <w:spacing w:after="120" w:before="0"/>
        <w:jc w:val="center"/>
      </w:pPr>
      <w:r>
        <w:rPr>
          <w:rFonts w:ascii="Calibri" w:cs="Calibri" w:eastAsia="Calibri" w:hAnsi="Calibri"/>
          <w:b/>
          <w:bCs/>
          <w:color w:val="00805A"/>
          <w:sz w:val="52"/>
          <w:szCs w:val="52"/>
        </w:rPr>
        <w:t xml:space="preserve">SOC Analyst Portfolio</w:t>
      </w:r>
    </w:p>
    <w:p>
      <w:pPr>
        <w:spacing w:after="80" w:before="0"/>
        <w:jc w:val="center"/>
      </w:pPr>
      <w:r>
        <w:rPr>
          <w:rFonts w:ascii="Calibri" w:cs="Calibri" w:eastAsia="Calibri" w:hAnsi="Calibri"/>
          <w:color w:val="6A7080"/>
          <w:sz w:val="24"/>
          <w:szCs w:val="24"/>
        </w:rPr>
        <w:t xml:space="preserve">MSc Cybersecurity &amp; Forensic IT  |  University of Portsmouth</w:t>
      </w:r>
    </w:p>
    <w:p>
      <w:pPr>
        <w:spacing w:after="600" w:before="0"/>
        <w:jc w:val="center"/>
      </w:pPr>
      <w:r>
        <w:rPr>
          <w:rFonts w:ascii="Calibri" w:cs="Calibri" w:eastAsia="Calibri" w:hAnsi="Calibri"/>
          <w:color w:val="00805A"/>
          <w:sz w:val="22"/>
          <w:szCs w:val="22"/>
        </w:rPr>
        <w:t xml:space="preserve">CEH  |  SC-200 Microsoft Security Operations Analyst</w:t>
      </w:r>
    </w:p>
    <w:p>
      <w:pPr>
        <w:pBdr>
          <w:bottom w:val="single" w:color="00805A" w:sz="12"/>
        </w:pBdr>
        <w:spacing w:after="600" w:before="0"/>
        <w:jc w:val="center"/>
      </w:pPr>
      <w:r>
        <w:t xml:space="preserve"/>
      </w:r>
    </w:p>
    <w:p>
      <w:pPr>
        <w:spacing w:after="60" w:before="0"/>
        <w:jc w:val="center"/>
      </w:pPr>
      <w:r>
        <w:rPr>
          <w:rFonts w:ascii="Calibri" w:cs="Calibri" w:eastAsia="Calibri" w:hAnsi="Calibri"/>
          <w:color w:val="3A3A4A"/>
          <w:sz w:val="22"/>
          <w:szCs w:val="22"/>
        </w:rPr>
        <w:t xml:space="preserve">Penetration Testing  |  Digital Forensics  |  Network Traffic Analysis</w:t>
      </w:r>
    </w:p>
    <w:p>
      <w:pPr>
        <w:spacing w:after="60" w:before="0"/>
        <w:jc w:val="center"/>
      </w:pPr>
      <w:r>
        <w:rPr>
          <w:rFonts w:ascii="Calibri" w:cs="Calibri" w:eastAsia="Calibri" w:hAnsi="Calibri"/>
          <w:color w:val="3A3A4A"/>
          <w:sz w:val="22"/>
          <w:szCs w:val="22"/>
        </w:rPr>
        <w:t xml:space="preserve">IDS / Firewall Configuration  |  Incident Response  |  Security Proposals</w:t>
      </w:r>
    </w:p>
    <w:p>
      <w:pPr>
        <w:spacing w:after="800" w:before="0"/>
        <w:jc w:val="center"/>
      </w:pPr>
      <w:r>
        <w:rPr>
          <w:rFonts w:ascii="Calibri" w:cs="Calibri" w:eastAsia="Calibri" w:hAnsi="Calibri"/>
          <w:color w:val="3A3A4A"/>
          <w:sz w:val="22"/>
          <w:szCs w:val="22"/>
        </w:rPr>
        <w:t xml:space="preserve">Mobile &amp; Disk Forensics  |  Threat Detection  |  Log Analysis</w:t>
      </w:r>
    </w:p>
    <w:p>
      <w:pPr>
        <w:spacing w:after="120" w:before="0"/>
        <w:jc w:val="center"/>
      </w:pPr>
      <w:r>
        <w:rPr>
          <w:rFonts w:ascii="Calibri" w:cs="Calibri" w:eastAsia="Calibri" w:hAnsi="Calibri"/>
          <w:color w:val="6A7080"/>
          <w:sz w:val="18"/>
          <w:szCs w:val="18"/>
        </w:rPr>
        <w:t xml:space="preserve">akinlade.opeyemi23@gmail.com  |  07405818194  |  linkedin.com/in/opeyemiakinlade</w:t>
      </w:r>
    </w:p>
    <w:p>
      <w:r>
        <w:br/>
      </w:r>
      <w:r>
        <w:br w:type="page"/>
      </w:r>
    </w:p>
    <w:p>
      <w:pPr>
        <w:pBdr>
          <w:bottom w:val="single" w:color="00805A" w:sz="8"/>
        </w:pBdr>
        <w:spacing w:after="120" w:before="400"/>
      </w:pPr>
      <w:r>
        <w:rPr>
          <w:rFonts w:ascii="Calibri" w:cs="Calibri" w:eastAsia="Calibri" w:hAnsi="Calibri"/>
          <w:b/>
          <w:bCs/>
          <w:color w:val="00805A"/>
          <w:sz w:val="32"/>
          <w:szCs w:val="32"/>
        </w:rPr>
        <w:t xml:space="preserve">Professional Summary</w:t>
      </w:r>
    </w:p>
    <w:p>
      <w:pPr>
        <w:spacing w:after="80" w:before="0"/>
      </w:pPr>
      <w:r>
        <w:rPr>
          <w:rFonts w:ascii="Calibri" w:cs="Calibri" w:eastAsia="Calibri" w:hAnsi="Calibri"/>
          <w:color w:val="3A3A4A"/>
          <w:sz w:val="19"/>
          <w:szCs w:val="19"/>
        </w:rPr>
        <w:t xml:space="preserve">An MSc-qualified Cybersecurity professional with hands-on experience in security operations, penetration testing, digital forensics, and enterprise security consultancy. Holds the SC-200 (Microsoft Security Operations Analyst) certification and CEH credential. Skilled in network traffic analysis using Wireshark, IDS rule configuration in Suricata, iptables firewall management, and log analysis for threat detection. Experienced in conducting professional-grade penetration tests across Linux and Windows environments, delivering client-facing reports with CVSS-scored findings and remediation guidance. Also active at CyberSync Hub, contributing to enterprise security proposals and research for clients in healthcare and fintech.</w:t>
      </w:r>
    </w:p>
    <w:p>
      <w:pPr>
        <w:pBdr>
          <w:bottom w:val="single" w:color="00805A" w:sz="8"/>
        </w:pBdr>
        <w:spacing w:after="120" w:before="400"/>
      </w:pPr>
      <w:r>
        <w:rPr>
          <w:rFonts w:ascii="Calibri" w:cs="Calibri" w:eastAsia="Calibri" w:hAnsi="Calibri"/>
          <w:b/>
          <w:bCs/>
          <w:color w:val="00805A"/>
          <w:sz w:val="32"/>
          <w:szCs w:val="32"/>
        </w:rPr>
        <w:t xml:space="preserve">Project 01 — Linux Server Penetration Test</w:t>
      </w:r>
    </w:p>
    <w:p>
      <w:pPr>
        <w:spacing w:after="80" w:before="240"/>
      </w:pPr>
      <w:r>
        <w:rPr>
          <w:rFonts w:ascii="Calibri" w:cs="Calibri" w:eastAsia="Calibri" w:hAnsi="Calibri"/>
          <w:b/>
          <w:bCs/>
          <w:color w:val="0A0D1A"/>
          <w:sz w:val="24"/>
          <w:szCs w:val="24"/>
        </w:rPr>
        <w:t xml:space="preserve">End-to-End Linux Security Assessment — Frozen Yoghurt Ltd</w:t>
      </w:r>
    </w:p>
    <w:p>
      <w:pPr>
        <w:spacing w:after="40" w:before="120"/>
      </w:pPr>
      <w:r>
        <w:rPr>
          <w:rFonts w:ascii="Calibri" w:cs="Calibri" w:eastAsia="Calibri" w:hAnsi="Calibri"/>
          <w:b/>
          <w:bCs/>
          <w:color w:val="00805A"/>
          <w:sz w:val="16"/>
          <w:szCs w:val="16"/>
        </w:rPr>
        <w:t xml:space="preserve">CONTEXT</w:t>
      </w:r>
    </w:p>
    <w:p>
      <w:pPr>
        <w:spacing w:after="80" w:before="0"/>
      </w:pPr>
      <w:r>
        <w:rPr>
          <w:rFonts w:ascii="Calibri" w:cs="Calibri" w:eastAsia="Calibri" w:hAnsi="Calibri"/>
          <w:color w:val="3A3A4A"/>
          <w:sz w:val="19"/>
          <w:szCs w:val="19"/>
        </w:rPr>
        <w:t xml:space="preserve">Conducted a full black-box penetration test against a Linux server for a simulated client as part of MSc coursework. The engagement covered reconnaissance, enumeration, exploitation, privilege escalation, and post-exploitation — delivered as a professional client-ready report with executive summary, CVSS-scored findings, and a prioritised remediation roadmap.</w:t>
      </w:r>
    </w:p>
    <w:p>
      <w:pPr>
        <w:spacing w:after="40" w:before="120"/>
      </w:pPr>
      <w:r>
        <w:rPr>
          <w:rFonts w:ascii="Calibri" w:cs="Calibri" w:eastAsia="Calibri" w:hAnsi="Calibri"/>
          <w:b/>
          <w:bCs/>
          <w:color w:val="00805A"/>
          <w:sz w:val="16"/>
          <w:szCs w:val="16"/>
        </w:rPr>
        <w:t xml:space="preserve">TOOLS USED</w:t>
      </w:r>
    </w:p>
    <w:p>
      <w:pPr>
        <w:spacing w:after="80" w:before="0"/>
      </w:pPr>
      <w:r>
        <w:rPr>
          <w:rFonts w:ascii="Calibri" w:cs="Calibri" w:eastAsia="Calibri" w:hAnsi="Calibri"/>
          <w:color w:val="3A3A4A"/>
          <w:sz w:val="19"/>
          <w:szCs w:val="19"/>
        </w:rPr>
        <w:t xml:space="preserve">Nmap 7.80  |  enum4linux v0.9.1  |  Hydra v9.0  |  Metasploit v6.3.9  |  PostgreSQL CLI  |  Python  |  Samba</w:t>
      </w:r>
    </w:p>
    <w:p>
      <w:pPr>
        <w:spacing w:after="40" w:before="120"/>
      </w:pPr>
      <w:r>
        <w:rPr>
          <w:rFonts w:ascii="Calibri" w:cs="Calibri" w:eastAsia="Calibri" w:hAnsi="Calibri"/>
          <w:b/>
          <w:bCs/>
          <w:color w:val="00805A"/>
          <w:sz w:val="16"/>
          <w:szCs w:val="16"/>
        </w:rPr>
        <w:t xml:space="preserve">VULNERABILITY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1300"/>
        <w:gridCol w:w="900"/>
      </w:tblGrid>
      <w:tr>
        <w:tc>
          <w:tcPr>
            <w:tcW w:type="dxa" w:w="1600"/>
            <w:tcBorders>
              <w:top w:val="single" w:color="CCCCCC" w:sz="1"/>
              <w:left w:val="single" w:color="CCCCCC" w:sz="1"/>
              <w:bottom w:val="single" w:color="CCCCCC" w:sz="1"/>
              <w:right w:val="single" w:color="CCCCCC" w:sz="1"/>
            </w:tcBorders>
            <w:shd w:fill="1A6B4A" w:val="clear"/>
            <w:tcMar>
              <w:top w:type="dxa" w:w="60"/>
              <w:left w:type="dxa" w:w="120"/>
              <w:bottom w:type="dxa" w:w="60"/>
              <w:right w:type="dxa" w:w="120"/>
            </w:tcMar>
          </w:tcPr>
          <w:p>
            <w:r>
              <w:rPr>
                <w:rFonts w:ascii="Calibri" w:cs="Calibri" w:eastAsia="Calibri" w:hAnsi="Calibri"/>
                <w:b/>
                <w:bCs/>
                <w:color w:val="FFFFFF"/>
                <w:sz w:val="16"/>
                <w:szCs w:val="16"/>
              </w:rPr>
              <w:t xml:space="preserve">ID / REFERENCE</w:t>
            </w:r>
          </w:p>
        </w:tc>
        <w:tc>
          <w:tcPr>
            <w:tcW w:type="dxa" w:w="5200"/>
            <w:tcBorders>
              <w:top w:val="single" w:color="CCCCCC" w:sz="1"/>
              <w:left w:val="single" w:color="CCCCCC" w:sz="1"/>
              <w:bottom w:val="single" w:color="CCCCCC" w:sz="1"/>
              <w:right w:val="single" w:color="CCCCCC" w:sz="1"/>
            </w:tcBorders>
            <w:shd w:fill="1A6B4A" w:val="clear"/>
            <w:tcMar>
              <w:top w:type="dxa" w:w="60"/>
              <w:left w:type="dxa" w:w="120"/>
              <w:bottom w:type="dxa" w:w="60"/>
              <w:right w:type="dxa" w:w="120"/>
            </w:tcMar>
          </w:tcPr>
          <w:p>
            <w:r>
              <w:rPr>
                <w:rFonts w:ascii="Calibri" w:cs="Calibri" w:eastAsia="Calibri" w:hAnsi="Calibri"/>
                <w:b/>
                <w:bCs/>
                <w:color w:val="FFFFFF"/>
                <w:sz w:val="16"/>
                <w:szCs w:val="16"/>
              </w:rPr>
              <w:t xml:space="preserve">FINDING</w:t>
            </w:r>
          </w:p>
        </w:tc>
        <w:tc>
          <w:tcPr>
            <w:tcW w:type="dxa" w:w="1300"/>
            <w:tcBorders>
              <w:top w:val="single" w:color="CCCCCC" w:sz="1"/>
              <w:left w:val="single" w:color="CCCCCC" w:sz="1"/>
              <w:bottom w:val="single" w:color="CCCCCC" w:sz="1"/>
              <w:right w:val="single" w:color="CCCCCC" w:sz="1"/>
            </w:tcBorders>
            <w:shd w:fill="1A6B4A" w:val="clear"/>
            <w:tcMar>
              <w:top w:type="dxa" w:w="60"/>
              <w:left w:type="dxa" w:w="120"/>
              <w:bottom w:type="dxa" w:w="60"/>
              <w:right w:type="dxa" w:w="120"/>
            </w:tcMar>
          </w:tcPr>
          <w:p>
            <w:r>
              <w:rPr>
                <w:rFonts w:ascii="Calibri" w:cs="Calibri" w:eastAsia="Calibri" w:hAnsi="Calibri"/>
                <w:b/>
                <w:bCs/>
                <w:color w:val="FFFFFF"/>
                <w:sz w:val="16"/>
                <w:szCs w:val="16"/>
              </w:rPr>
              <w:t xml:space="preserve">SEVERITY</w:t>
            </w:r>
          </w:p>
        </w:tc>
        <w:tc>
          <w:tcPr>
            <w:tcW w:type="dxa" w:w="900"/>
            <w:tcBorders>
              <w:top w:val="single" w:color="CCCCCC" w:sz="1"/>
              <w:left w:val="single" w:color="CCCCCC" w:sz="1"/>
              <w:bottom w:val="single" w:color="CCCCCC" w:sz="1"/>
              <w:right w:val="single" w:color="CCCCCC" w:sz="1"/>
            </w:tcBorders>
            <w:shd w:fill="1A6B4A" w:val="clear"/>
            <w:tcMar>
              <w:top w:type="dxa" w:w="60"/>
              <w:left w:type="dxa" w:w="120"/>
              <w:bottom w:type="dxa" w:w="60"/>
              <w:right w:type="dxa" w:w="120"/>
            </w:tcMar>
          </w:tcPr>
          <w:p>
            <w:r>
              <w:rPr>
                <w:rFonts w:ascii="Calibri" w:cs="Calibri" w:eastAsia="Calibri" w:hAnsi="Calibri"/>
                <w:b/>
                <w:bCs/>
                <w:color w:val="FFFFFF"/>
                <w:sz w:val="16"/>
                <w:szCs w:val="16"/>
              </w:rPr>
              <w:t xml:space="preserve">CVSS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CVE-2017-7494</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Samba Remote Code Execution (SambaCry) — root shell via is_known_pipename exploit</w:t>
            </w:r>
          </w:p>
        </w:tc>
        <w:tc>
          <w:tcPr>
            <w:tcW w:type="dxa" w:w="13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Calibri" w:cs="Calibri" w:eastAsia="Calibri" w:hAnsi="Calibri"/>
                <w:b/>
                <w:bCs/>
                <w:color w:val="C0392B"/>
                <w:sz w:val="17"/>
                <w:szCs w:val="17"/>
              </w:rPr>
              <w:t xml:space="preserve">Critical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C0392B"/>
                <w:sz w:val="17"/>
                <w:szCs w:val="17"/>
              </w:rPr>
              <w:t xml:space="preserve">9.8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CWE-1391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Weak / Reused Credentials — SSH brute-forced via Hydra + rockyou.txt</w:t>
            </w:r>
          </w:p>
        </w:tc>
        <w:tc>
          <w:tcPr>
            <w:tcW w:type="dxa" w:w="13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Calibri" w:cs="Calibri" w:eastAsia="Calibri" w:hAnsi="Calibri"/>
                <w:b/>
                <w:bCs/>
                <w:color w:val="E67E22"/>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E67E22"/>
                <w:sz w:val="17"/>
                <w:szCs w:val="17"/>
              </w:rPr>
              <w:t xml:space="preserve">8.4</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CWE-256</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Plaintext Password Storage — ProcessChecker binary exposed credential via strings command</w:t>
            </w:r>
          </w:p>
        </w:tc>
        <w:tc>
          <w:tcPr>
            <w:tcW w:type="dxa" w:w="13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Calibri" w:cs="Calibri" w:eastAsia="Calibri" w:hAnsi="Calibri"/>
                <w:b/>
                <w:bCs/>
                <w:color w:val="E67E22"/>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E67E22"/>
                <w:sz w:val="17"/>
                <w:szCs w:val="17"/>
              </w:rPr>
              <w:t xml:space="preserve">8.1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CVE-2019-9193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PostgreSQL Authenticated Remote Code Execution — reverse shell via copy from program</w:t>
            </w:r>
          </w:p>
        </w:tc>
        <w:tc>
          <w:tcPr>
            <w:tcW w:type="dxa" w:w="13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Calibri" w:cs="Calibri" w:eastAsia="Calibri" w:hAnsi="Calibri"/>
                <w:b/>
                <w:bCs/>
                <w:color w:val="E67E22"/>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E67E22"/>
                <w:sz w:val="17"/>
                <w:szCs w:val="17"/>
              </w:rPr>
              <w:t xml:space="preserve">7.2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CWE-1392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Default Credentials — PostgreSQL left with factory username/password unchanged</w:t>
            </w:r>
          </w:p>
        </w:tc>
        <w:tc>
          <w:tcPr>
            <w:tcW w:type="dxa" w:w="13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Calibri" w:cs="Calibri" w:eastAsia="Calibri" w:hAnsi="Calibri"/>
                <w:b/>
                <w:bCs/>
                <w:color w:val="E67E22"/>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E67E22"/>
                <w:sz w:val="17"/>
                <w:szCs w:val="17"/>
              </w:rPr>
              <w:t xml:space="preserve">7.3</w:t>
            </w:r>
          </w:p>
        </w:tc>
      </w:tr>
    </w:tbl>
    <w:p>
      <w:pPr>
        <w:spacing w:after="40" w:before="120"/>
      </w:pPr>
      <w:r>
        <w:rPr>
          <w:rFonts w:ascii="Calibri" w:cs="Calibri" w:eastAsia="Calibri" w:hAnsi="Calibri"/>
          <w:b/>
          <w:bCs/>
          <w:color w:val="00805A"/>
          <w:sz w:val="16"/>
          <w:szCs w:val="16"/>
        </w:rPr>
        <w:t xml:space="preserve">ATTACK NARRATIVE</w:t>
      </w:r>
    </w:p>
    <w:p>
      <w:pPr>
        <w:pStyle w:val="ListParagraph"/>
        <w:numPr>
          <w:ilvl w:val="0"/>
          <w:numId w:val="2"/>
        </w:numPr>
        <w:spacing w:after="30" w:before="30"/>
      </w:pPr>
      <w:r>
        <w:rPr>
          <w:rFonts w:ascii="Calibri" w:cs="Calibri" w:eastAsia="Calibri" w:hAnsi="Calibri"/>
          <w:color w:val="3A3A4A"/>
          <w:sz w:val="19"/>
          <w:szCs w:val="19"/>
        </w:rPr>
        <w:t xml:space="preserve">User enumeration via enum4linux identified target account 'frozen'. Hydra brute-forced SSH credentials using rockyou.txt, gaining initial shell access.</w:t>
      </w:r>
    </w:p>
    <w:p>
      <w:pPr>
        <w:pStyle w:val="ListParagraph"/>
        <w:numPr>
          <w:ilvl w:val="0"/>
          <w:numId w:val="2"/>
        </w:numPr>
        <w:spacing w:after="30" w:before="30"/>
      </w:pPr>
      <w:r>
        <w:rPr>
          <w:rFonts w:ascii="Calibri" w:cs="Calibri" w:eastAsia="Calibri" w:hAnsi="Calibri"/>
          <w:color w:val="3A3A4A"/>
          <w:sz w:val="19"/>
          <w:szCs w:val="19"/>
        </w:rPr>
        <w:t xml:space="preserve">Privilege escalation to root via Python PTY spawn after gaining low-privilege shell. /etc/shadow accessed, exposing all user password hashes.</w:t>
      </w:r>
    </w:p>
    <w:p>
      <w:pPr>
        <w:pStyle w:val="ListParagraph"/>
        <w:numPr>
          <w:ilvl w:val="0"/>
          <w:numId w:val="2"/>
        </w:numPr>
        <w:spacing w:after="30" w:before="30"/>
      </w:pPr>
      <w:r>
        <w:rPr>
          <w:rFonts w:ascii="Calibri" w:cs="Calibri" w:eastAsia="Calibri" w:hAnsi="Calibri"/>
          <w:color w:val="3A3A4A"/>
          <w:sz w:val="19"/>
          <w:szCs w:val="19"/>
        </w:rPr>
        <w:t xml:space="preserve">Samba is_known_pipename exploit (CVE-2017-7494) deployed via Metasploit — direct root shell obtained without credentials.</w:t>
      </w:r>
    </w:p>
    <w:p>
      <w:pPr>
        <w:pStyle w:val="ListParagraph"/>
        <w:numPr>
          <w:ilvl w:val="0"/>
          <w:numId w:val="2"/>
        </w:numPr>
        <w:spacing w:after="30" w:before="30"/>
      </w:pPr>
      <w:r>
        <w:rPr>
          <w:rFonts w:ascii="Calibri" w:cs="Calibri" w:eastAsia="Calibri" w:hAnsi="Calibri"/>
          <w:color w:val="3A3A4A"/>
          <w:sz w:val="19"/>
          <w:szCs w:val="19"/>
        </w:rPr>
        <w:t xml:space="preserve">PostgreSQL 9.3.4 found running with unchanged default credentials. Authenticated, then exploited CVE-2019-9193 to execute system commands and open reverse shell.</w:t>
      </w:r>
    </w:p>
    <w:p>
      <w:pPr>
        <w:pStyle w:val="ListParagraph"/>
        <w:numPr>
          <w:ilvl w:val="0"/>
          <w:numId w:val="2"/>
        </w:numPr>
        <w:spacing w:after="30" w:before="30"/>
      </w:pPr>
      <w:r>
        <w:rPr>
          <w:rFonts w:ascii="Calibri" w:cs="Calibri" w:eastAsia="Calibri" w:hAnsi="Calibri"/>
          <w:color w:val="3A3A4A"/>
          <w:sz w:val="19"/>
          <w:szCs w:val="19"/>
        </w:rPr>
        <w:t xml:space="preserve">ProcessChecker binary analysed with strings command, revealing plaintext password 'bashment' — demonstrating risk of insecure binary storage.</w:t>
      </w:r>
    </w:p>
    <w:p>
      <w:pPr>
        <w:spacing w:after="40" w:before="120"/>
      </w:pPr>
      <w:r>
        <w:rPr>
          <w:rFonts w:ascii="Calibri" w:cs="Calibri" w:eastAsia="Calibri" w:hAnsi="Calibri"/>
          <w:b/>
          <w:bCs/>
          <w:color w:val="00805A"/>
          <w:sz w:val="16"/>
          <w:szCs w:val="16"/>
        </w:rPr>
        <w:t xml:space="preserve">DELIVERABLE</w:t>
      </w:r>
    </w:p>
    <w:p>
      <w:pPr>
        <w:spacing w:after="80" w:before="0"/>
      </w:pPr>
      <w:r>
        <w:rPr>
          <w:rFonts w:ascii="Calibri" w:cs="Calibri" w:eastAsia="Calibri" w:hAnsi="Calibri"/>
          <w:color w:val="3A3A4A"/>
          <w:sz w:val="19"/>
          <w:szCs w:val="19"/>
        </w:rPr>
        <w:t xml:space="preserve">Professional penetration testing report with executive summary, CVSS risk table, full attack narratives with terminal screenshots, and remediation recommendations referencing NIST SP 800-63B, OWASP, and NCSC guidance.</w:t>
      </w:r>
    </w:p>
    <w:p>
      <w:r>
        <w:br w:type="page"/>
      </w:r>
    </w:p>
    <w:p>
      <w:pPr>
        <w:pBdr>
          <w:bottom w:val="single" w:color="00805A" w:sz="8"/>
        </w:pBdr>
        <w:spacing w:after="120" w:before="400"/>
      </w:pPr>
      <w:r>
        <w:rPr>
          <w:rFonts w:ascii="Calibri" w:cs="Calibri" w:eastAsia="Calibri" w:hAnsi="Calibri"/>
          <w:b/>
          <w:bCs/>
          <w:color w:val="00805A"/>
          <w:sz w:val="32"/>
          <w:szCs w:val="32"/>
        </w:rPr>
        <w:t xml:space="preserve">Project 02 — Windows Server Penetration Test</w:t>
      </w:r>
    </w:p>
    <w:p>
      <w:pPr>
        <w:spacing w:after="80" w:before="240"/>
      </w:pPr>
      <w:r>
        <w:rPr>
          <w:rFonts w:ascii="Calibri" w:cs="Calibri" w:eastAsia="Calibri" w:hAnsi="Calibri"/>
          <w:b/>
          <w:bCs/>
          <w:color w:val="0A0D1A"/>
          <w:sz w:val="24"/>
          <w:szCs w:val="24"/>
        </w:rPr>
        <w:t xml:space="preserve">Windows Infrastructure Security Assessment — Frozen Yoghurt Ltd</w:t>
      </w:r>
    </w:p>
    <w:p>
      <w:pPr>
        <w:spacing w:after="40" w:before="120"/>
      </w:pPr>
      <w:r>
        <w:rPr>
          <w:rFonts w:ascii="Calibri" w:cs="Calibri" w:eastAsia="Calibri" w:hAnsi="Calibri"/>
          <w:b/>
          <w:bCs/>
          <w:color w:val="00805A"/>
          <w:sz w:val="16"/>
          <w:szCs w:val="16"/>
        </w:rPr>
        <w:t xml:space="preserve">CONTEXT</w:t>
      </w:r>
    </w:p>
    <w:p>
      <w:pPr>
        <w:spacing w:after="80" w:before="0"/>
      </w:pPr>
      <w:r>
        <w:rPr>
          <w:rFonts w:ascii="Calibri" w:cs="Calibri" w:eastAsia="Calibri" w:hAnsi="Calibri"/>
          <w:color w:val="3A3A4A"/>
          <w:sz w:val="19"/>
          <w:szCs w:val="19"/>
        </w:rPr>
        <w:t xml:space="preserve">Full penetration test against a Windows Server environment using the EternalBlue exploit chain. The engagement demonstrated a realistic advanced threat scenario from initial reconnaissance through to credential dumping, hash cracking, privilege escalation, and full system compromise.</w:t>
      </w:r>
    </w:p>
    <w:p>
      <w:pPr>
        <w:spacing w:after="40" w:before="120"/>
      </w:pPr>
      <w:r>
        <w:rPr>
          <w:rFonts w:ascii="Calibri" w:cs="Calibri" w:eastAsia="Calibri" w:hAnsi="Calibri"/>
          <w:b/>
          <w:bCs/>
          <w:color w:val="00805A"/>
          <w:sz w:val="16"/>
          <w:szCs w:val="16"/>
        </w:rPr>
        <w:t xml:space="preserve">TOOLS USED</w:t>
      </w:r>
    </w:p>
    <w:p>
      <w:pPr>
        <w:spacing w:after="80" w:before="0"/>
      </w:pPr>
      <w:r>
        <w:rPr>
          <w:rFonts w:ascii="Calibri" w:cs="Calibri" w:eastAsia="Calibri" w:hAnsi="Calibri"/>
          <w:color w:val="3A3A4A"/>
          <w:sz w:val="19"/>
          <w:szCs w:val="19"/>
        </w:rPr>
        <w:t xml:space="preserve">Nmap 7.80  |  Metasploit v6.3.9  |  msfvenom  |  Hashdump  |  hashes.com  |  EternalBlue module  |  bypassuac module</w:t>
      </w:r>
    </w:p>
    <w:p>
      <w:pPr>
        <w:spacing w:after="40" w:before="120"/>
      </w:pPr>
      <w:r>
        <w:rPr>
          <w:rFonts w:ascii="Calibri" w:cs="Calibri" w:eastAsia="Calibri" w:hAnsi="Calibri"/>
          <w:b/>
          <w:bCs/>
          <w:color w:val="00805A"/>
          <w:sz w:val="16"/>
          <w:szCs w:val="16"/>
        </w:rPr>
        <w:t xml:space="preserve">VULNERABILITY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1300"/>
        <w:gridCol w:w="900"/>
      </w:tblGrid>
      <w:tr>
        <w:tc>
          <w:tcPr>
            <w:tcW w:type="dxa" w:w="1600"/>
            <w:tcBorders>
              <w:top w:val="single" w:color="CCCCCC" w:sz="1"/>
              <w:left w:val="single" w:color="CCCCCC" w:sz="1"/>
              <w:bottom w:val="single" w:color="CCCCCC" w:sz="1"/>
              <w:right w:val="single" w:color="CCCCCC" w:sz="1"/>
            </w:tcBorders>
            <w:shd w:fill="1A6B4A" w:val="clear"/>
            <w:tcMar>
              <w:top w:type="dxa" w:w="60"/>
              <w:left w:type="dxa" w:w="120"/>
              <w:bottom w:type="dxa" w:w="60"/>
              <w:right w:type="dxa" w:w="120"/>
            </w:tcMar>
          </w:tcPr>
          <w:p>
            <w:r>
              <w:rPr>
                <w:rFonts w:ascii="Calibri" w:cs="Calibri" w:eastAsia="Calibri" w:hAnsi="Calibri"/>
                <w:b/>
                <w:bCs/>
                <w:color w:val="FFFFFF"/>
                <w:sz w:val="16"/>
                <w:szCs w:val="16"/>
              </w:rPr>
              <w:t xml:space="preserve">ID / REFERENCE</w:t>
            </w:r>
          </w:p>
        </w:tc>
        <w:tc>
          <w:tcPr>
            <w:tcW w:type="dxa" w:w="5200"/>
            <w:tcBorders>
              <w:top w:val="single" w:color="CCCCCC" w:sz="1"/>
              <w:left w:val="single" w:color="CCCCCC" w:sz="1"/>
              <w:bottom w:val="single" w:color="CCCCCC" w:sz="1"/>
              <w:right w:val="single" w:color="CCCCCC" w:sz="1"/>
            </w:tcBorders>
            <w:shd w:fill="1A6B4A" w:val="clear"/>
            <w:tcMar>
              <w:top w:type="dxa" w:w="60"/>
              <w:left w:type="dxa" w:w="120"/>
              <w:bottom w:type="dxa" w:w="60"/>
              <w:right w:type="dxa" w:w="120"/>
            </w:tcMar>
          </w:tcPr>
          <w:p>
            <w:r>
              <w:rPr>
                <w:rFonts w:ascii="Calibri" w:cs="Calibri" w:eastAsia="Calibri" w:hAnsi="Calibri"/>
                <w:b/>
                <w:bCs/>
                <w:color w:val="FFFFFF"/>
                <w:sz w:val="16"/>
                <w:szCs w:val="16"/>
              </w:rPr>
              <w:t xml:space="preserve">FINDING</w:t>
            </w:r>
          </w:p>
        </w:tc>
        <w:tc>
          <w:tcPr>
            <w:tcW w:type="dxa" w:w="1300"/>
            <w:tcBorders>
              <w:top w:val="single" w:color="CCCCCC" w:sz="1"/>
              <w:left w:val="single" w:color="CCCCCC" w:sz="1"/>
              <w:bottom w:val="single" w:color="CCCCCC" w:sz="1"/>
              <w:right w:val="single" w:color="CCCCCC" w:sz="1"/>
            </w:tcBorders>
            <w:shd w:fill="1A6B4A" w:val="clear"/>
            <w:tcMar>
              <w:top w:type="dxa" w:w="60"/>
              <w:left w:type="dxa" w:w="120"/>
              <w:bottom w:type="dxa" w:w="60"/>
              <w:right w:type="dxa" w:w="120"/>
            </w:tcMar>
          </w:tcPr>
          <w:p>
            <w:r>
              <w:rPr>
                <w:rFonts w:ascii="Calibri" w:cs="Calibri" w:eastAsia="Calibri" w:hAnsi="Calibri"/>
                <w:b/>
                <w:bCs/>
                <w:color w:val="FFFFFF"/>
                <w:sz w:val="16"/>
                <w:szCs w:val="16"/>
              </w:rPr>
              <w:t xml:space="preserve">SEVERITY</w:t>
            </w:r>
          </w:p>
        </w:tc>
        <w:tc>
          <w:tcPr>
            <w:tcW w:type="dxa" w:w="900"/>
            <w:tcBorders>
              <w:top w:val="single" w:color="CCCCCC" w:sz="1"/>
              <w:left w:val="single" w:color="CCCCCC" w:sz="1"/>
              <w:bottom w:val="single" w:color="CCCCCC" w:sz="1"/>
              <w:right w:val="single" w:color="CCCCCC" w:sz="1"/>
            </w:tcBorders>
            <w:shd w:fill="1A6B4A" w:val="clear"/>
            <w:tcMar>
              <w:top w:type="dxa" w:w="60"/>
              <w:left w:type="dxa" w:w="120"/>
              <w:bottom w:type="dxa" w:w="60"/>
              <w:right w:type="dxa" w:w="120"/>
            </w:tcMar>
          </w:tcPr>
          <w:p>
            <w:r>
              <w:rPr>
                <w:rFonts w:ascii="Calibri" w:cs="Calibri" w:eastAsia="Calibri" w:hAnsi="Calibri"/>
                <w:b/>
                <w:bCs/>
                <w:color w:val="FFFFFF"/>
                <w:sz w:val="16"/>
                <w:szCs w:val="16"/>
              </w:rPr>
              <w:t xml:space="preserve">CVSS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CWE-328</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Weak Hash — MD5 used for password storage, cracked via hashes.com in seconds</w:t>
            </w:r>
          </w:p>
        </w:tc>
        <w:tc>
          <w:tcPr>
            <w:tcW w:type="dxa" w:w="13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Calibri" w:cs="Calibri" w:eastAsia="Calibri" w:hAnsi="Calibri"/>
                <w:b/>
                <w:bCs/>
                <w:color w:val="C0392B"/>
                <w:sz w:val="17"/>
                <w:szCs w:val="17"/>
              </w:rPr>
              <w:t xml:space="preserve">Critical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C0392B"/>
                <w:sz w:val="17"/>
                <w:szCs w:val="17"/>
              </w:rPr>
              <w:t xml:space="preserve">9.8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CVE-2017-0144</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EternalBlue — SMBv1 Remote Code Execution granting NT AUTHORITY\SYSTEM shell</w:t>
            </w:r>
          </w:p>
        </w:tc>
        <w:tc>
          <w:tcPr>
            <w:tcW w:type="dxa" w:w="13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Calibri" w:cs="Calibri" w:eastAsia="Calibri" w:hAnsi="Calibri"/>
                <w:b/>
                <w:bCs/>
                <w:color w:val="E67E22"/>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E67E22"/>
                <w:sz w:val="17"/>
                <w:szCs w:val="17"/>
              </w:rPr>
              <w:t xml:space="preserve">8.1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CWE-200</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Sensitive Information Exposure — plaintext password visible on user desktop sticky note</w:t>
            </w:r>
          </w:p>
        </w:tc>
        <w:tc>
          <w:tcPr>
            <w:tcW w:type="dxa" w:w="13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Calibri" w:cs="Calibri" w:eastAsia="Calibri" w:hAnsi="Calibri"/>
                <w:b/>
                <w:bCs/>
                <w:color w:val="E67E22"/>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E67E22"/>
                <w:sz w:val="17"/>
                <w:szCs w:val="17"/>
              </w:rPr>
              <w:t xml:space="preserve">8.4</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CVE-2019-1388</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Windows UAC Privilege Escalation via bypassuac Metasploit module</w:t>
            </w:r>
          </w:p>
        </w:tc>
        <w:tc>
          <w:tcPr>
            <w:tcW w:type="dxa" w:w="13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Calibri" w:cs="Calibri" w:eastAsia="Calibri" w:hAnsi="Calibri"/>
                <w:b/>
                <w:bCs/>
                <w:color w:val="E67E22"/>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E67E22"/>
                <w:sz w:val="17"/>
                <w:szCs w:val="17"/>
              </w:rPr>
              <w:t xml:space="preserve">7.8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0A0D1A"/>
                <w:sz w:val="17"/>
                <w:szCs w:val="17"/>
              </w:rPr>
              <w:t xml:space="preserve">CWE-693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3A3A4A"/>
                <w:sz w:val="17"/>
                <w:szCs w:val="17"/>
              </w:rPr>
              <w:t xml:space="preserve">Protection Mechanism Failure — Windows Firewall completely disabled</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Calibri" w:cs="Calibri" w:eastAsia="Calibri" w:hAnsi="Calibri"/>
                <w:b/>
                <w:bCs/>
                <w:color w:val="2980B9"/>
                <w:sz w:val="17"/>
                <w:szCs w:val="17"/>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bCs/>
                <w:color w:val="2980B9"/>
                <w:sz w:val="17"/>
                <w:szCs w:val="17"/>
              </w:rPr>
              <w:t xml:space="preserve">6.7</w:t>
            </w:r>
          </w:p>
        </w:tc>
      </w:tr>
    </w:tbl>
    <w:p>
      <w:pPr>
        <w:spacing w:after="40" w:before="120"/>
      </w:pPr>
      <w:r>
        <w:rPr>
          <w:rFonts w:ascii="Calibri" w:cs="Calibri" w:eastAsia="Calibri" w:hAnsi="Calibri"/>
          <w:b/>
          <w:bCs/>
          <w:color w:val="00805A"/>
          <w:sz w:val="16"/>
          <w:szCs w:val="16"/>
        </w:rPr>
        <w:t xml:space="preserve">ATTACK NARRATIVE</w:t>
      </w:r>
    </w:p>
    <w:p>
      <w:pPr>
        <w:pStyle w:val="ListParagraph"/>
        <w:numPr>
          <w:ilvl w:val="0"/>
          <w:numId w:val="2"/>
        </w:numPr>
        <w:spacing w:after="30" w:before="30"/>
      </w:pPr>
      <w:r>
        <w:rPr>
          <w:rFonts w:ascii="Calibri" w:cs="Calibri" w:eastAsia="Calibri" w:hAnsi="Calibri"/>
          <w:color w:val="3A3A4A"/>
          <w:sz w:val="19"/>
          <w:szCs w:val="19"/>
        </w:rPr>
        <w:t xml:space="preserve">Nmap scripting engine identified SMBv1 exposure. ms17_010_eternalblue deployed, achieving Meterpreter shell as NT AUTHORITY\SYSTEM without credentials.</w:t>
      </w:r>
    </w:p>
    <w:p>
      <w:pPr>
        <w:pStyle w:val="ListParagraph"/>
        <w:numPr>
          <w:ilvl w:val="0"/>
          <w:numId w:val="2"/>
        </w:numPr>
        <w:spacing w:after="30" w:before="30"/>
      </w:pPr>
      <w:r>
        <w:rPr>
          <w:rFonts w:ascii="Calibri" w:cs="Calibri" w:eastAsia="Calibri" w:hAnsi="Calibri"/>
          <w:color w:val="3A3A4A"/>
          <w:sz w:val="19"/>
          <w:szCs w:val="19"/>
        </w:rPr>
        <w:t xml:space="preserve">hashdump extracted all user password hashes. MD5 hashes cracked via hashes.com, recovering plaintext credentials — demonstrating SHA-256/512 + salting requirement.</w:t>
      </w:r>
    </w:p>
    <w:p>
      <w:pPr>
        <w:pStyle w:val="ListParagraph"/>
        <w:numPr>
          <w:ilvl w:val="0"/>
          <w:numId w:val="2"/>
        </w:numPr>
        <w:spacing w:after="30" w:before="30"/>
      </w:pPr>
      <w:r>
        <w:rPr>
          <w:rFonts w:ascii="Calibri" w:cs="Calibri" w:eastAsia="Calibri" w:hAnsi="Calibri"/>
          <w:color w:val="3A3A4A"/>
          <w:sz w:val="19"/>
          <w:szCs w:val="19"/>
        </w:rPr>
        <w:t xml:space="preserve">msfvenom payload generated and delivered to target. bypassuac post-exploitation module elevated privileges from standard user to SYSTEM without triggering UAC prompt.</w:t>
      </w:r>
    </w:p>
    <w:p>
      <w:pPr>
        <w:pStyle w:val="ListParagraph"/>
        <w:numPr>
          <w:ilvl w:val="0"/>
          <w:numId w:val="2"/>
        </w:numPr>
        <w:spacing w:after="30" w:before="30"/>
      </w:pPr>
      <w:r>
        <w:rPr>
          <w:rFonts w:ascii="Calibri" w:cs="Calibri" w:eastAsia="Calibri" w:hAnsi="Calibri"/>
          <w:color w:val="3A3A4A"/>
          <w:sz w:val="19"/>
          <w:szCs w:val="19"/>
        </w:rPr>
        <w:t xml:space="preserve">Post-exploitation enumeration discovered plaintext password in a desktop sticky note — highlighting social engineering risk alongside technical vulnerabilities.</w:t>
      </w:r>
    </w:p>
    <w:p>
      <w:r>
        <w:br w:type="page"/>
      </w:r>
    </w:p>
    <w:p>
      <w:pPr>
        <w:pBdr>
          <w:bottom w:val="single" w:color="00805A" w:sz="8"/>
        </w:pBdr>
        <w:spacing w:after="120" w:before="400"/>
      </w:pPr>
      <w:r>
        <w:rPr>
          <w:rFonts w:ascii="Calibri" w:cs="Calibri" w:eastAsia="Calibri" w:hAnsi="Calibri"/>
          <w:b/>
          <w:bCs/>
          <w:color w:val="00805A"/>
          <w:sz w:val="32"/>
          <w:szCs w:val="32"/>
        </w:rPr>
        <w:t xml:space="preserve">Project 03 — Digital Forensics Court Report (SFR)</w:t>
      </w:r>
    </w:p>
    <w:p>
      <w:pPr>
        <w:spacing w:after="80" w:before="240"/>
      </w:pPr>
      <w:r>
        <w:rPr>
          <w:rFonts w:ascii="Calibri" w:cs="Calibri" w:eastAsia="Calibri" w:hAnsi="Calibri"/>
          <w:b/>
          <w:bCs/>
          <w:color w:val="0A0D1A"/>
          <w:sz w:val="24"/>
          <w:szCs w:val="24"/>
        </w:rPr>
        <w:t xml:space="preserve">Streamlined Forensic Evidence Report — R v Boyler Case</w:t>
      </w:r>
    </w:p>
    <w:p>
      <w:pPr>
        <w:spacing w:after="40" w:before="120"/>
      </w:pPr>
      <w:r>
        <w:rPr>
          <w:rFonts w:ascii="Calibri" w:cs="Calibri" w:eastAsia="Calibri" w:hAnsi="Calibri"/>
          <w:b/>
          <w:bCs/>
          <w:color w:val="00805A"/>
          <w:sz w:val="16"/>
          <w:szCs w:val="16"/>
        </w:rPr>
        <w:t xml:space="preserve">CONTEXT</w:t>
      </w:r>
    </w:p>
    <w:p>
      <w:pPr>
        <w:spacing w:after="80" w:before="0"/>
      </w:pPr>
      <w:r>
        <w:rPr>
          <w:rFonts w:ascii="Calibri" w:cs="Calibri" w:eastAsia="Calibri" w:hAnsi="Calibri"/>
          <w:color w:val="3A3A4A"/>
          <w:sz w:val="19"/>
          <w:szCs w:val="19"/>
        </w:rPr>
        <w:t xml:space="preserve">Produced a formal Streamlined Forensic Digital Evidence Report (SFR) for a simulated criminal case involving drug distribution and indecent material allegations. Report structured in compliance with ACPO Good Practice Guidelines and referenced the Misuse of Drugs Act 1971 and Protection of Children Act 1978.</w:t>
      </w:r>
    </w:p>
    <w:p>
      <w:pPr>
        <w:spacing w:after="40" w:before="120"/>
      </w:pPr>
      <w:r>
        <w:rPr>
          <w:rFonts w:ascii="Calibri" w:cs="Calibri" w:eastAsia="Calibri" w:hAnsi="Calibri"/>
          <w:b/>
          <w:bCs/>
          <w:color w:val="00805A"/>
          <w:sz w:val="16"/>
          <w:szCs w:val="16"/>
        </w:rPr>
        <w:t xml:space="preserve">TOOLS USED</w:t>
      </w:r>
    </w:p>
    <w:p>
      <w:pPr>
        <w:spacing w:after="80" w:before="0"/>
      </w:pPr>
      <w:r>
        <w:rPr>
          <w:rFonts w:ascii="Calibri" w:cs="Calibri" w:eastAsia="Calibri" w:hAnsi="Calibri"/>
          <w:color w:val="3A3A4A"/>
          <w:sz w:val="19"/>
          <w:szCs w:val="19"/>
        </w:rPr>
        <w:t xml:space="preserve">FTK Imager v4.7.1.2  |  XAMN v7.3.0  |  Autopsy 4.17.0  |  XRY  |  MD5/SHA1 hash verification  |  GPS coordinate analysis</w:t>
      </w:r>
    </w:p>
    <w:p>
      <w:pPr>
        <w:spacing w:after="40" w:before="120"/>
      </w:pPr>
      <w:r>
        <w:rPr>
          <w:rFonts w:ascii="Calibri" w:cs="Calibri" w:eastAsia="Calibri" w:hAnsi="Calibri"/>
          <w:b/>
          <w:bCs/>
          <w:color w:val="00805A"/>
          <w:sz w:val="16"/>
          <w:szCs w:val="16"/>
        </w:rPr>
        <w:t xml:space="preserve">ARTEFACTS EXAMINED</w:t>
      </w:r>
    </w:p>
    <w:p>
      <w:pPr>
        <w:pStyle w:val="ListParagraph"/>
        <w:numPr>
          <w:ilvl w:val="0"/>
          <w:numId w:val="2"/>
        </w:numPr>
        <w:spacing w:after="30" w:before="30"/>
      </w:pPr>
      <w:r>
        <w:rPr>
          <w:rFonts w:ascii="Calibri" w:cs="Calibri" w:eastAsia="Calibri" w:hAnsi="Calibri"/>
          <w:color w:val="3A3A4A"/>
          <w:sz w:val="19"/>
          <w:szCs w:val="19"/>
        </w:rPr>
        <w:t xml:space="preserve">Huawei Nexus 6P smartphone — call logs, SMS history, WhatsApp conversations, GPS/GPRS location data, social media accounts (Facebook, Instagram, WhatsApp, Tinder), and deliberately deleted drug dealer contact (recovered).</w:t>
      </w:r>
    </w:p>
    <w:p>
      <w:pPr>
        <w:pStyle w:val="ListParagraph"/>
        <w:numPr>
          <w:ilvl w:val="0"/>
          <w:numId w:val="2"/>
        </w:numPr>
        <w:spacing w:after="30" w:before="30"/>
      </w:pPr>
      <w:r>
        <w:rPr>
          <w:rFonts w:ascii="Calibri" w:cs="Calibri" w:eastAsia="Calibri" w:hAnsi="Calibri"/>
          <w:color w:val="3A3A4A"/>
          <w:sz w:val="19"/>
          <w:szCs w:val="19"/>
        </w:rPr>
        <w:t xml:space="preserve">Windows XP disk images (x2) — forensic imaging with FTK, file system analysis, file carving from RECYCLER directories, downloaded content analysis, multi-user access attribution.</w:t>
      </w:r>
    </w:p>
    <w:p>
      <w:pPr>
        <w:pStyle w:val="ListParagraph"/>
        <w:numPr>
          <w:ilvl w:val="0"/>
          <w:numId w:val="2"/>
        </w:numPr>
        <w:spacing w:after="30" w:before="30"/>
      </w:pPr>
      <w:r>
        <w:rPr>
          <w:rFonts w:ascii="Calibri" w:cs="Calibri" w:eastAsia="Calibri" w:hAnsi="Calibri"/>
          <w:color w:val="3A3A4A"/>
          <w:sz w:val="19"/>
          <w:szCs w:val="19"/>
        </w:rPr>
        <w:t xml:space="preserve">TomTom Go 950 GPS device — stored route history and location points including Bournemouth, Seabourne Road, Drayton, Salisbury A344, and Wimborne.</w:t>
      </w:r>
    </w:p>
    <w:p>
      <w:pPr>
        <w:spacing w:after="40" w:before="120"/>
      </w:pPr>
      <w:r>
        <w:rPr>
          <w:rFonts w:ascii="Calibri" w:cs="Calibri" w:eastAsia="Calibri" w:hAnsi="Calibri"/>
          <w:b/>
          <w:bCs/>
          <w:color w:val="00805A"/>
          <w:sz w:val="16"/>
          <w:szCs w:val="16"/>
        </w:rPr>
        <w:t xml:space="preserve">KEY FORENSIC METHODOLOGY</w:t>
      </w:r>
    </w:p>
    <w:p>
      <w:pPr>
        <w:pStyle w:val="ListParagraph"/>
        <w:numPr>
          <w:ilvl w:val="0"/>
          <w:numId w:val="2"/>
        </w:numPr>
        <w:spacing w:after="30" w:before="30"/>
      </w:pPr>
      <w:r>
        <w:rPr>
          <w:rFonts w:ascii="Calibri" w:cs="Calibri" w:eastAsia="Calibri" w:hAnsi="Calibri"/>
          <w:color w:val="3A3A4A"/>
          <w:sz w:val="19"/>
          <w:szCs w:val="19"/>
        </w:rPr>
        <w:t xml:space="preserve">All artefacts imaged and integrity verified via MD5/SHA1 hashing prior to analysis.</w:t>
      </w:r>
    </w:p>
    <w:p>
      <w:pPr>
        <w:pStyle w:val="ListParagraph"/>
        <w:numPr>
          <w:ilvl w:val="0"/>
          <w:numId w:val="2"/>
        </w:numPr>
        <w:spacing w:after="30" w:before="30"/>
      </w:pPr>
      <w:r>
        <w:rPr>
          <w:rFonts w:ascii="Calibri" w:cs="Calibri" w:eastAsia="Calibri" w:hAnsi="Calibri"/>
          <w:color w:val="3A3A4A"/>
          <w:sz w:val="19"/>
          <w:szCs w:val="19"/>
        </w:rPr>
        <w:t xml:space="preserve">Evidence chain of custody maintained throughout; analysis conducted using read-only forensic copies.</w:t>
      </w:r>
    </w:p>
    <w:p>
      <w:pPr>
        <w:pStyle w:val="ListParagraph"/>
        <w:numPr>
          <w:ilvl w:val="0"/>
          <w:numId w:val="2"/>
        </w:numPr>
        <w:spacing w:after="30" w:before="30"/>
      </w:pPr>
      <w:r>
        <w:rPr>
          <w:rFonts w:ascii="Calibri" w:cs="Calibri" w:eastAsia="Calibri" w:hAnsi="Calibri"/>
          <w:color w:val="3A3A4A"/>
          <w:sz w:val="19"/>
          <w:szCs w:val="19"/>
        </w:rPr>
        <w:t xml:space="preserve">Analytical objectivity maintained — report concluded no direct evidence of personal involvement could be established given shared device access by multiple individuals.</w:t>
      </w:r>
    </w:p>
    <w:p>
      <w:pPr>
        <w:spacing w:after="40" w:before="120"/>
      </w:pPr>
      <w:r>
        <w:rPr>
          <w:rFonts w:ascii="Calibri" w:cs="Calibri" w:eastAsia="Calibri" w:hAnsi="Calibri"/>
          <w:b/>
          <w:bCs/>
          <w:color w:val="00805A"/>
          <w:sz w:val="16"/>
          <w:szCs w:val="16"/>
        </w:rPr>
        <w:t xml:space="preserve">OUTCOME</w:t>
      </w:r>
    </w:p>
    <w:p>
      <w:pPr>
        <w:spacing w:after="80" w:before="0"/>
      </w:pPr>
      <w:r>
        <w:rPr>
          <w:rFonts w:ascii="Calibri" w:cs="Calibri" w:eastAsia="Calibri" w:hAnsi="Calibri"/>
          <w:color w:val="3A3A4A"/>
          <w:sz w:val="19"/>
          <w:szCs w:val="19"/>
        </w:rPr>
        <w:t xml:space="preserve">Court-ready SFR delivered with structured evidence summary, tool justification, legal authority references, and an objective conclusion supported by the evidence — meeting standards for forensic admissibility.</w:t>
      </w:r>
    </w:p>
    <w:p>
      <w:r>
        <w:br w:type="page"/>
      </w:r>
    </w:p>
    <w:p>
      <w:pPr>
        <w:pBdr>
          <w:bottom w:val="single" w:color="00805A" w:sz="8"/>
        </w:pBdr>
        <w:spacing w:after="120" w:before="400"/>
      </w:pPr>
      <w:r>
        <w:rPr>
          <w:rFonts w:ascii="Calibri" w:cs="Calibri" w:eastAsia="Calibri" w:hAnsi="Calibri"/>
          <w:b/>
          <w:bCs/>
          <w:color w:val="00805A"/>
          <w:sz w:val="32"/>
          <w:szCs w:val="32"/>
        </w:rPr>
        <w:t xml:space="preserve">Project 04 — Mobile Forensics Investigation</w:t>
      </w:r>
    </w:p>
    <w:p>
      <w:pPr>
        <w:spacing w:after="80" w:before="240"/>
      </w:pPr>
      <w:r>
        <w:rPr>
          <w:rFonts w:ascii="Calibri" w:cs="Calibri" w:eastAsia="Calibri" w:hAnsi="Calibri"/>
          <w:b/>
          <w:bCs/>
          <w:color w:val="0A0D1A"/>
          <w:sz w:val="24"/>
          <w:szCs w:val="24"/>
        </w:rPr>
        <w:t xml:space="preserve">Multi-Device Drug Distribution Case — Four Suspects</w:t>
      </w:r>
    </w:p>
    <w:p>
      <w:pPr>
        <w:spacing w:after="40" w:before="120"/>
      </w:pPr>
      <w:r>
        <w:rPr>
          <w:rFonts w:ascii="Calibri" w:cs="Calibri" w:eastAsia="Calibri" w:hAnsi="Calibri"/>
          <w:b/>
          <w:bCs/>
          <w:color w:val="00805A"/>
          <w:sz w:val="16"/>
          <w:szCs w:val="16"/>
        </w:rPr>
        <w:t xml:space="preserve">CONTEXT</w:t>
      </w:r>
    </w:p>
    <w:p>
      <w:pPr>
        <w:spacing w:after="80" w:before="0"/>
      </w:pPr>
      <w:r>
        <w:rPr>
          <w:rFonts w:ascii="Calibri" w:cs="Calibri" w:eastAsia="Calibri" w:hAnsi="Calibri"/>
          <w:color w:val="3A3A4A"/>
          <w:sz w:val="19"/>
          <w:szCs w:val="19"/>
        </w:rPr>
        <w:t xml:space="preserve">Comprehensive mobile forensics investigation across four seized smartphones in a simulated drug distribution case, in the role of forensic specialist at Hastings Police Station. Cross-referenced call logs, SMS, GPS data, and WhatsApp group metadata across all devices to establish suspect identities and link them to a distribution network.</w:t>
      </w:r>
    </w:p>
    <w:p>
      <w:pPr>
        <w:spacing w:after="40" w:before="120"/>
      </w:pPr>
      <w:r>
        <w:rPr>
          <w:rFonts w:ascii="Calibri" w:cs="Calibri" w:eastAsia="Calibri" w:hAnsi="Calibri"/>
          <w:b/>
          <w:bCs/>
          <w:color w:val="00805A"/>
          <w:sz w:val="16"/>
          <w:szCs w:val="16"/>
        </w:rPr>
        <w:t xml:space="preserve">TOOLS USED</w:t>
      </w:r>
    </w:p>
    <w:p>
      <w:pPr>
        <w:spacing w:after="80" w:before="0"/>
      </w:pPr>
      <w:r>
        <w:rPr>
          <w:rFonts w:ascii="Calibri" w:cs="Calibri" w:eastAsia="Calibri" w:hAnsi="Calibri"/>
          <w:color w:val="3A3A4A"/>
          <w:sz w:val="19"/>
          <w:szCs w:val="19"/>
        </w:rPr>
        <w:t xml:space="preserve">XAMN v7.3.0  |  FTK Imager v4.7.1.2  |  ACPO Good Practice Guidelines  |  Misuse of Drugs Act 1971</w:t>
      </w:r>
    </w:p>
    <w:p>
      <w:pPr>
        <w:spacing w:after="40" w:before="120"/>
      </w:pPr>
      <w:r>
        <w:rPr>
          <w:rFonts w:ascii="Calibri" w:cs="Calibri" w:eastAsia="Calibri" w:hAnsi="Calibri"/>
          <w:b/>
          <w:bCs/>
          <w:color w:val="00805A"/>
          <w:sz w:val="16"/>
          <w:szCs w:val="16"/>
        </w:rPr>
        <w:t xml:space="preserve">DEVICES &amp; OUTCOMES</w:t>
      </w:r>
    </w:p>
    <w:p>
      <w:pPr>
        <w:pStyle w:val="ListParagraph"/>
        <w:numPr>
          <w:ilvl w:val="0"/>
          <w:numId w:val="2"/>
        </w:numPr>
        <w:spacing w:after="30" w:before="30"/>
      </w:pPr>
      <w:r>
        <w:rPr>
          <w:rFonts w:ascii="Calibri" w:cs="Calibri" w:eastAsia="Calibri" w:hAnsi="Calibri"/>
          <w:color w:val="3A3A4A"/>
          <w:sz w:val="19"/>
          <w:szCs w:val="19"/>
        </w:rPr>
        <w:t xml:space="preserve">Sony Xperia X (Vic) — call logs confirmed identity; GPS traced route Portsmouth → Arundel → Hastings on key date.</w:t>
      </w:r>
    </w:p>
    <w:p>
      <w:pPr>
        <w:pStyle w:val="ListParagraph"/>
        <w:numPr>
          <w:ilvl w:val="0"/>
          <w:numId w:val="2"/>
        </w:numPr>
        <w:spacing w:after="30" w:before="30"/>
      </w:pPr>
      <w:r>
        <w:rPr>
          <w:rFonts w:ascii="Calibri" w:cs="Calibri" w:eastAsia="Calibri" w:hAnsi="Calibri"/>
          <w:color w:val="3A3A4A"/>
          <w:sz w:val="19"/>
          <w:szCs w:val="19"/>
        </w:rPr>
        <w:t xml:space="preserve">Samsung Galaxy S7 Edge (Jon) — identity confirmed via incoming SMS; coded 'pizza party' language cross-corroborated across all four devices.</w:t>
      </w:r>
    </w:p>
    <w:p>
      <w:pPr>
        <w:pStyle w:val="ListParagraph"/>
        <w:numPr>
          <w:ilvl w:val="0"/>
          <w:numId w:val="2"/>
        </w:numPr>
        <w:spacing w:after="30" w:before="30"/>
      </w:pPr>
      <w:r>
        <w:rPr>
          <w:rFonts w:ascii="Calibri" w:cs="Calibri" w:eastAsia="Calibri" w:hAnsi="Calibri"/>
          <w:color w:val="3A3A4A"/>
          <w:sz w:val="19"/>
          <w:szCs w:val="19"/>
        </w:rPr>
        <w:t xml:space="preserve">Sony Xperia Z5 (Lou) — Google account + WhatsApp linked to email loumfip@gmail.com confirmed ownership; explicit coded drug conversation with 'Tony' recovered; GPS at University of Portsmouth on arrest date.</w:t>
      </w:r>
    </w:p>
    <w:p>
      <w:pPr>
        <w:pStyle w:val="ListParagraph"/>
        <w:numPr>
          <w:ilvl w:val="0"/>
          <w:numId w:val="2"/>
        </w:numPr>
        <w:spacing w:after="30" w:before="30"/>
      </w:pPr>
      <w:r>
        <w:rPr>
          <w:rFonts w:ascii="Calibri" w:cs="Calibri" w:eastAsia="Calibri" w:hAnsi="Calibri"/>
          <w:color w:val="3A3A4A"/>
          <w:sz w:val="19"/>
          <w:szCs w:val="19"/>
        </w:rPr>
        <w:t xml:space="preserve">Apple iPhone 6s (Tony) — WhatsApp group metadata revealed all four participants and phone numbers, enabling complete network mapping.</w:t>
      </w:r>
    </w:p>
    <w:p>
      <w:pPr>
        <w:spacing w:after="40" w:before="120"/>
      </w:pPr>
      <w:r>
        <w:rPr>
          <w:rFonts w:ascii="Calibri" w:cs="Calibri" w:eastAsia="Calibri" w:hAnsi="Calibri"/>
          <w:b/>
          <w:bCs/>
          <w:color w:val="00805A"/>
          <w:sz w:val="16"/>
          <w:szCs w:val="16"/>
        </w:rPr>
        <w:t xml:space="preserve">COURT RECOMMENDATION</w:t>
      </w:r>
    </w:p>
    <w:p>
      <w:pPr>
        <w:spacing w:after="80" w:before="0"/>
      </w:pPr>
      <w:r>
        <w:rPr>
          <w:rFonts w:ascii="Calibri" w:cs="Calibri" w:eastAsia="Calibri" w:hAnsi="Calibri"/>
          <w:color w:val="3A3A4A"/>
          <w:sz w:val="19"/>
          <w:szCs w:val="19"/>
        </w:rPr>
        <w:t xml:space="preserve">Evidence from all four devices declared admissible under ACPO principles. Lou Harrison identified as primary suspect. Coded SMS language, cross-device GPS correlation, and account metadata provided strong circumstantial linkage.</w:t>
      </w:r>
    </w:p>
    <w:p>
      <w:r>
        <w:br w:type="page"/>
      </w:r>
    </w:p>
    <w:p>
      <w:pPr>
        <w:pBdr>
          <w:bottom w:val="single" w:color="00805A" w:sz="8"/>
        </w:pBdr>
        <w:spacing w:after="120" w:before="400"/>
      </w:pPr>
      <w:r>
        <w:rPr>
          <w:rFonts w:ascii="Calibri" w:cs="Calibri" w:eastAsia="Calibri" w:hAnsi="Calibri"/>
          <w:b/>
          <w:bCs/>
          <w:color w:val="00805A"/>
          <w:sz w:val="32"/>
          <w:szCs w:val="32"/>
        </w:rPr>
        <w:t xml:space="preserve">Project 05 — SYSHA Lab Programme (Core SOC Skills)</w:t>
      </w:r>
    </w:p>
    <w:p>
      <w:pPr>
        <w:spacing w:after="80" w:before="240"/>
      </w:pPr>
      <w:r>
        <w:rPr>
          <w:rFonts w:ascii="Calibri" w:cs="Calibri" w:eastAsia="Calibri" w:hAnsi="Calibri"/>
          <w:b/>
          <w:bCs/>
          <w:color w:val="0A0D1A"/>
          <w:sz w:val="24"/>
          <w:szCs w:val="24"/>
        </w:rPr>
        <w:t xml:space="preserve">Systems, Security &amp; Hacking — Six-Week Practical Lab Report</w:t>
      </w:r>
    </w:p>
    <w:p>
      <w:pPr>
        <w:spacing w:after="40" w:before="120"/>
      </w:pPr>
      <w:r>
        <w:rPr>
          <w:rFonts w:ascii="Calibri" w:cs="Calibri" w:eastAsia="Calibri" w:hAnsi="Calibri"/>
          <w:b/>
          <w:bCs/>
          <w:color w:val="00805A"/>
          <w:sz w:val="16"/>
          <w:szCs w:val="16"/>
        </w:rPr>
        <w:t xml:space="preserve">CONTEXT</w:t>
      </w:r>
    </w:p>
    <w:p>
      <w:pPr>
        <w:spacing w:after="80" w:before="0"/>
      </w:pPr>
      <w:r>
        <w:rPr>
          <w:rFonts w:ascii="Calibri" w:cs="Calibri" w:eastAsia="Calibri" w:hAnsi="Calibri"/>
          <w:color w:val="3A3A4A"/>
          <w:sz w:val="19"/>
          <w:szCs w:val="19"/>
        </w:rPr>
        <w:t xml:space="preserve">Six-week structured lab programme covering the technical fundamentals most directly relevant to SOC analyst operations. Each week combined practical terminal exercises with written analysis of findings and observations.</w:t>
      </w:r>
    </w:p>
    <w:p>
      <w:pPr>
        <w:spacing w:after="40" w:before="120"/>
      </w:pPr>
      <w:r>
        <w:rPr>
          <w:rFonts w:ascii="Calibri" w:cs="Calibri" w:eastAsia="Calibri" w:hAnsi="Calibri"/>
          <w:b/>
          <w:bCs/>
          <w:color w:val="00805A"/>
          <w:sz w:val="16"/>
          <w:szCs w:val="16"/>
        </w:rPr>
        <w:t xml:space="preserve">WEEK 1 — LINUX CLI FUNDAMENTALS</w:t>
      </w:r>
    </w:p>
    <w:p>
      <w:pPr>
        <w:spacing w:after="80" w:before="0"/>
      </w:pPr>
      <w:r>
        <w:rPr>
          <w:rFonts w:ascii="Calibri" w:cs="Calibri" w:eastAsia="Calibri" w:hAnsi="Calibri"/>
          <w:color w:val="3A3A4A"/>
          <w:sz w:val="19"/>
          <w:szCs w:val="19"/>
        </w:rPr>
        <w:t xml:space="preserve">Practised core Linux commands critical for SOC work: grep (log searching), ps (process monitoring), cat/tail/head (log inspection), find (file hunting), chmod/chown/chgrp (permission management). Demonstrated command-line proficiency across file operations, user switching, and directory management.</w:t>
      </w:r>
    </w:p>
    <w:p>
      <w:pPr>
        <w:spacing w:after="40" w:before="120"/>
      </w:pPr>
      <w:r>
        <w:rPr>
          <w:rFonts w:ascii="Calibri" w:cs="Calibri" w:eastAsia="Calibri" w:hAnsi="Calibri"/>
          <w:b/>
          <w:bCs/>
          <w:color w:val="00805A"/>
          <w:sz w:val="16"/>
          <w:szCs w:val="16"/>
        </w:rPr>
        <w:t xml:space="preserve">WEEK 2 — NETWORK TRAFFIC ANALYSIS &amp; BRUTE-FORCE DETECTION</w:t>
      </w:r>
    </w:p>
    <w:p>
      <w:pPr>
        <w:spacing w:after="80" w:before="0"/>
      </w:pPr>
      <w:r>
        <w:rPr>
          <w:rFonts w:ascii="Calibri" w:cs="Calibri" w:eastAsia="Calibri" w:hAnsi="Calibri"/>
          <w:color w:val="3A3A4A"/>
          <w:sz w:val="19"/>
          <w:szCs w:val="19"/>
        </w:rPr>
        <w:t xml:space="preserve">Ran Nmap port scans against target 10.0.10.5 and captured traffic in Wireshark. Identified open ports via SYN/SYN-ACK handshakes and closed ports via RST/ACK. Observed a live Hydra dictionary attack over Telnet — followed TCP stream to read plaintext credentials and correlated events with auth.log showing failed login attempts then successful session opened.</w:t>
      </w:r>
    </w:p>
    <w:p>
      <w:pPr>
        <w:spacing w:after="40" w:before="120"/>
      </w:pPr>
      <w:r>
        <w:rPr>
          <w:rFonts w:ascii="Calibri" w:cs="Calibri" w:eastAsia="Calibri" w:hAnsi="Calibri"/>
          <w:b/>
          <w:bCs/>
          <w:color w:val="00805A"/>
          <w:sz w:val="16"/>
          <w:szCs w:val="16"/>
        </w:rPr>
        <w:t xml:space="preserve">WEEK 4 — FIREWALL CONFIGURATION &amp; SURICATA IDS</w:t>
      </w:r>
    </w:p>
    <w:p>
      <w:pPr>
        <w:spacing w:after="80" w:before="0"/>
      </w:pPr>
      <w:r>
        <w:rPr>
          <w:rFonts w:ascii="Calibri" w:cs="Calibri" w:eastAsia="Calibri" w:hAnsi="Calibri"/>
          <w:color w:val="3A3A4A"/>
          <w:sz w:val="19"/>
          <w:szCs w:val="19"/>
        </w:rPr>
        <w:t xml:space="preserve">Configured iptables with a default-DROP policy, selectively allowing HTTP (port 80) and SSH (port 22) traffic and unblocking the loopback interface. Verified enforcement by blocking vsftpd installation. Installed and configured Suricata IDS — wrote custom alert rules for ICMP and Telnet traffic, confirmed rule loading, and verified alert firing via fast.log.</w:t>
      </w:r>
    </w:p>
    <w:p>
      <w:pPr>
        <w:spacing w:after="40" w:before="120"/>
      </w:pPr>
      <w:r>
        <w:rPr>
          <w:rFonts w:ascii="Calibri" w:cs="Calibri" w:eastAsia="Calibri" w:hAnsi="Calibri"/>
          <w:b/>
          <w:bCs/>
          <w:color w:val="00805A"/>
          <w:sz w:val="16"/>
          <w:szCs w:val="16"/>
        </w:rPr>
        <w:t xml:space="preserve">WEEK 5 — LINUX ACCESS CONTROL</w:t>
      </w:r>
    </w:p>
    <w:p>
      <w:pPr>
        <w:spacing w:after="80" w:before="0"/>
      </w:pPr>
      <w:r>
        <w:rPr>
          <w:rFonts w:ascii="Calibri" w:cs="Calibri" w:eastAsia="Calibri" w:hAnsi="Calibri"/>
          <w:color w:val="3A3A4A"/>
          <w:sz w:val="19"/>
          <w:szCs w:val="19"/>
        </w:rPr>
        <w:t xml:space="preserve">Applied DAC using octal and symbolic chmod notation. Created user/group hierarchies (marketing, finance), set group ownership and tested access enforcement boundaries. Applied Bell–LaPadula NO READ-UP/NO WRITE-DOWN model practically. Used sticky bit to prevent shared-directory deletion attacks between group members.</w:t>
      </w:r>
    </w:p>
    <w:p>
      <w:pPr>
        <w:spacing w:after="40" w:before="120"/>
      </w:pPr>
      <w:r>
        <w:rPr>
          <w:rFonts w:ascii="Calibri" w:cs="Calibri" w:eastAsia="Calibri" w:hAnsi="Calibri"/>
          <w:b/>
          <w:bCs/>
          <w:color w:val="00805A"/>
          <w:sz w:val="16"/>
          <w:szCs w:val="16"/>
        </w:rPr>
        <w:t xml:space="preserve">WEEK 6 — PRIVILEGE ESCALATION VIA SUID &amp; PATH HIJACKING</w:t>
      </w:r>
    </w:p>
    <w:p>
      <w:pPr>
        <w:spacing w:after="80" w:before="0"/>
      </w:pPr>
      <w:r>
        <w:rPr>
          <w:rFonts w:ascii="Calibri" w:cs="Calibri" w:eastAsia="Calibri" w:hAnsi="Calibri"/>
          <w:color w:val="3A3A4A"/>
          <w:sz w:val="19"/>
          <w:szCs w:val="19"/>
        </w:rPr>
        <w:t xml:space="preserve">Demonstrated SUID bit exploitation — misconfigured PasswordChecker binary allowed low-privileged user to execute as file owner. Performed PATH hijacking attack by creating malicious 'ps' binary in /tmp, prepending to PATH, and triggering SUID binary to spawn elevated shell. Directly illustrates techniques that would trigger SIEM/EDR alerts in real SOC environments.</w:t>
      </w:r>
    </w:p>
    <w:p>
      <w:r>
        <w:br w:type="page"/>
      </w:r>
    </w:p>
    <w:p>
      <w:pPr>
        <w:pBdr>
          <w:bottom w:val="single" w:color="00805A" w:sz="8"/>
        </w:pBdr>
        <w:spacing w:after="120" w:before="400"/>
      </w:pPr>
      <w:r>
        <w:rPr>
          <w:rFonts w:ascii="Calibri" w:cs="Calibri" w:eastAsia="Calibri" w:hAnsi="Calibri"/>
          <w:b/>
          <w:bCs/>
          <w:color w:val="00805A"/>
          <w:sz w:val="32"/>
          <w:szCs w:val="32"/>
        </w:rPr>
        <w:t xml:space="preserve">Project 06 — Enterprise Security Consultancy (CyberSync Hub)</w:t>
      </w:r>
    </w:p>
    <w:p>
      <w:pPr>
        <w:spacing w:after="80" w:before="240"/>
      </w:pPr>
      <w:r>
        <w:rPr>
          <w:rFonts w:ascii="Calibri" w:cs="Calibri" w:eastAsia="Calibri" w:hAnsi="Calibri"/>
          <w:b/>
          <w:bCs/>
          <w:color w:val="0A0D1A"/>
          <w:sz w:val="24"/>
          <w:szCs w:val="24"/>
        </w:rPr>
        <w:t xml:space="preserve">Real-World Security Proposals for Enterprise Clients</w:t>
      </w:r>
    </w:p>
    <w:p>
      <w:pPr>
        <w:spacing w:after="40" w:before="120"/>
      </w:pPr>
      <w:r>
        <w:rPr>
          <w:rFonts w:ascii="Calibri" w:cs="Calibri" w:eastAsia="Calibri" w:hAnsi="Calibri"/>
          <w:b/>
          <w:bCs/>
          <w:color w:val="00805A"/>
          <w:sz w:val="16"/>
          <w:szCs w:val="16"/>
        </w:rPr>
        <w:t xml:space="preserve">CONTEXT</w:t>
      </w:r>
    </w:p>
    <w:p>
      <w:pPr>
        <w:spacing w:after="80" w:before="0"/>
      </w:pPr>
      <w:r>
        <w:rPr>
          <w:rFonts w:ascii="Calibri" w:cs="Calibri" w:eastAsia="Calibri" w:hAnsi="Calibri"/>
          <w:color w:val="3A3A4A"/>
          <w:sz w:val="19"/>
          <w:szCs w:val="19"/>
        </w:rPr>
        <w:t xml:space="preserve">As a Security Analyst at CyberSync Hub, authored two substantive enterprise security proposals for clients in regulated sectors — developing hands-on commercial and technical understanding of the security tools and architectures SOC analysts monitor and defend.</w:t>
      </w:r>
    </w:p>
    <w:p>
      <w:pPr>
        <w:spacing w:after="40" w:before="120"/>
      </w:pPr>
      <w:r>
        <w:rPr>
          <w:rFonts w:ascii="Calibri" w:cs="Calibri" w:eastAsia="Calibri" w:hAnsi="Calibri"/>
          <w:b/>
          <w:bCs/>
          <w:color w:val="00805A"/>
          <w:sz w:val="16"/>
          <w:szCs w:val="16"/>
        </w:rPr>
        <w:t xml:space="preserve">PROPOSAL 1 — FEDERAL MEDICAL CENTRE, ABUJA: UNIFIED SECURITY SOLUTION</w:t>
      </w:r>
    </w:p>
    <w:p>
      <w:pPr>
        <w:pStyle w:val="ListParagraph"/>
        <w:numPr>
          <w:ilvl w:val="0"/>
          <w:numId w:val="2"/>
        </w:numPr>
        <w:spacing w:after="30" w:before="30"/>
      </w:pPr>
      <w:r>
        <w:rPr>
          <w:rFonts w:ascii="Calibri" w:cs="Calibri" w:eastAsia="Calibri" w:hAnsi="Calibri"/>
          <w:color w:val="3A3A4A"/>
          <w:sz w:val="19"/>
          <w:szCs w:val="19"/>
        </w:rPr>
        <w:t xml:space="preserve">Authored a multi-vendor security proposal addressing endpoint management, data protection, backup/recovery, and threat detection for a healthcare institution.</w:t>
      </w:r>
    </w:p>
    <w:p>
      <w:pPr>
        <w:pStyle w:val="ListParagraph"/>
        <w:numPr>
          <w:ilvl w:val="0"/>
          <w:numId w:val="2"/>
        </w:numPr>
        <w:spacing w:after="30" w:before="30"/>
      </w:pPr>
      <w:r>
        <w:rPr>
          <w:rFonts w:ascii="Calibri" w:cs="Calibri" w:eastAsia="Calibri" w:hAnsi="Calibri"/>
          <w:color w:val="3A3A4A"/>
          <w:sz w:val="19"/>
          <w:szCs w:val="19"/>
        </w:rPr>
        <w:t xml:space="preserve">Solutions proposed: Ivanti Neurons for MDM (device control &amp; posture), Trellix DLP &amp; Database Security (data in motion and at rest), Commvault Backup &amp; Recovery (ransomware resilience), Kaspersky EDR (continuous monitoring &amp; automated response).</w:t>
      </w:r>
    </w:p>
    <w:p>
      <w:pPr>
        <w:pStyle w:val="ListParagraph"/>
        <w:numPr>
          <w:ilvl w:val="0"/>
          <w:numId w:val="2"/>
        </w:numPr>
        <w:spacing w:after="30" w:before="30"/>
      </w:pPr>
      <w:r>
        <w:rPr>
          <w:rFonts w:ascii="Calibri" w:cs="Calibri" w:eastAsia="Calibri" w:hAnsi="Calibri"/>
          <w:color w:val="3A3A4A"/>
          <w:sz w:val="19"/>
          <w:szCs w:val="19"/>
        </w:rPr>
        <w:t xml:space="preserve">Researched healthcare-specific threat landscape including unmanaged endpoint risks, database vulnerability, and the operational impact of downtime on patient care.</w:t>
      </w:r>
    </w:p>
    <w:p>
      <w:pPr>
        <w:spacing w:after="40" w:before="120"/>
      </w:pPr>
      <w:r>
        <w:rPr>
          <w:rFonts w:ascii="Calibri" w:cs="Calibri" w:eastAsia="Calibri" w:hAnsi="Calibri"/>
          <w:b/>
          <w:bCs/>
          <w:color w:val="00805A"/>
          <w:sz w:val="16"/>
          <w:szCs w:val="16"/>
        </w:rPr>
        <w:t xml:space="preserve">PROPOSAL 2 — FLUTTERWAVE: ZERO TRUST NETWORK ACCESS (ZTNA)</w:t>
      </w:r>
    </w:p>
    <w:p>
      <w:pPr>
        <w:pStyle w:val="ListParagraph"/>
        <w:numPr>
          <w:ilvl w:val="0"/>
          <w:numId w:val="2"/>
        </w:numPr>
        <w:spacing w:after="30" w:before="30"/>
      </w:pPr>
      <w:r>
        <w:rPr>
          <w:rFonts w:ascii="Calibri" w:cs="Calibri" w:eastAsia="Calibri" w:hAnsi="Calibri"/>
          <w:color w:val="3A3A4A"/>
          <w:sz w:val="19"/>
          <w:szCs w:val="19"/>
        </w:rPr>
        <w:t xml:space="preserve">Authored a ZTNA architecture proposal for one of Africa's largest payment processors, addressing distributed workforce access, API security, PCI-DSS/GDPR/NDPR compliance, and lateral movement prevention.</w:t>
      </w:r>
    </w:p>
    <w:p>
      <w:pPr>
        <w:pStyle w:val="ListParagraph"/>
        <w:numPr>
          <w:ilvl w:val="0"/>
          <w:numId w:val="2"/>
        </w:numPr>
        <w:spacing w:after="30" w:before="30"/>
      </w:pPr>
      <w:r>
        <w:rPr>
          <w:rFonts w:ascii="Calibri" w:cs="Calibri" w:eastAsia="Calibri" w:hAnsi="Calibri"/>
          <w:color w:val="3A3A4A"/>
          <w:sz w:val="19"/>
          <w:szCs w:val="19"/>
        </w:rPr>
        <w:t xml:space="preserve">Covered: Zero Trust principles, continuous session verification, identity-based least-privilege access, comparison with legacy VPN, phased implementation approach.</w:t>
      </w:r>
    </w:p>
    <w:p>
      <w:pPr>
        <w:pStyle w:val="ListParagraph"/>
        <w:numPr>
          <w:ilvl w:val="0"/>
          <w:numId w:val="2"/>
        </w:numPr>
        <w:spacing w:after="30" w:before="30"/>
      </w:pPr>
      <w:r>
        <w:rPr>
          <w:rFonts w:ascii="Calibri" w:cs="Calibri" w:eastAsia="Calibri" w:hAnsi="Calibri"/>
          <w:color w:val="3A3A4A"/>
          <w:sz w:val="19"/>
          <w:szCs w:val="19"/>
        </w:rPr>
        <w:t xml:space="preserve">Communicated complex security architecture in both technical depth and executive business-impact framing.</w:t>
      </w:r>
    </w:p>
    <w:p>
      <w:pPr>
        <w:spacing w:after="40" w:before="120"/>
      </w:pPr>
      <w:r>
        <w:rPr>
          <w:rFonts w:ascii="Calibri" w:cs="Calibri" w:eastAsia="Calibri" w:hAnsi="Calibri"/>
          <w:b/>
          <w:bCs/>
          <w:color w:val="00805A"/>
          <w:sz w:val="16"/>
          <w:szCs w:val="16"/>
        </w:rPr>
        <w:t xml:space="preserve">ADDITIONAL RESPONSIBILITIES</w:t>
      </w:r>
    </w:p>
    <w:p>
      <w:pPr>
        <w:pStyle w:val="ListParagraph"/>
        <w:numPr>
          <w:ilvl w:val="0"/>
          <w:numId w:val="2"/>
        </w:numPr>
        <w:spacing w:after="30" w:before="30"/>
      </w:pPr>
      <w:r>
        <w:rPr>
          <w:rFonts w:ascii="Calibri" w:cs="Calibri" w:eastAsia="Calibri" w:hAnsi="Calibri"/>
          <w:color w:val="3A3A4A"/>
          <w:sz w:val="19"/>
          <w:szCs w:val="19"/>
        </w:rPr>
        <w:t xml:space="preserve">Source and evaluate OEM vendors and distributors against client security requirements.</w:t>
      </w:r>
    </w:p>
    <w:p>
      <w:pPr>
        <w:pStyle w:val="ListParagraph"/>
        <w:numPr>
          <w:ilvl w:val="0"/>
          <w:numId w:val="2"/>
        </w:numPr>
        <w:spacing w:after="30" w:before="30"/>
      </w:pPr>
      <w:r>
        <w:rPr>
          <w:rFonts w:ascii="Calibri" w:cs="Calibri" w:eastAsia="Calibri" w:hAnsi="Calibri"/>
          <w:color w:val="3A3A4A"/>
          <w:sz w:val="19"/>
          <w:szCs w:val="19"/>
        </w:rPr>
        <w:t xml:space="preserve">Develop presentation materials for technical and C-suite audiences.</w:t>
      </w:r>
    </w:p>
    <w:p>
      <w:pPr>
        <w:pStyle w:val="ListParagraph"/>
        <w:numPr>
          <w:ilvl w:val="0"/>
          <w:numId w:val="2"/>
        </w:numPr>
        <w:spacing w:after="30" w:before="30"/>
      </w:pPr>
      <w:r>
        <w:rPr>
          <w:rFonts w:ascii="Calibri" w:cs="Calibri" w:eastAsia="Calibri" w:hAnsi="Calibri"/>
          <w:color w:val="3A3A4A"/>
          <w:sz w:val="19"/>
          <w:szCs w:val="19"/>
        </w:rPr>
        <w:t xml:space="preserve">Contribute to project deployment activities on familiar solutions.</w:t>
      </w:r>
    </w:p>
    <w:p>
      <w:pPr>
        <w:pStyle w:val="ListParagraph"/>
        <w:numPr>
          <w:ilvl w:val="0"/>
          <w:numId w:val="2"/>
        </w:numPr>
        <w:spacing w:after="30" w:before="30"/>
      </w:pPr>
      <w:r>
        <w:rPr>
          <w:rFonts w:ascii="Calibri" w:cs="Calibri" w:eastAsia="Calibri" w:hAnsi="Calibri"/>
          <w:color w:val="3A3A4A"/>
          <w:sz w:val="19"/>
          <w:szCs w:val="19"/>
        </w:rPr>
        <w:t xml:space="preserve">Conduct ongoing research into emerging threats, vendor capabilities, and security frameworks.</w:t>
      </w:r>
    </w:p>
    <w:p>
      <w:pPr>
        <w:pBdr>
          <w:bottom w:val="single" w:color="00805A" w:sz="8"/>
        </w:pBdr>
        <w:spacing w:after="120" w:before="400"/>
      </w:pPr>
      <w:r>
        <w:rPr>
          <w:rFonts w:ascii="Calibri" w:cs="Calibri" w:eastAsia="Calibri" w:hAnsi="Calibri"/>
          <w:b/>
          <w:bCs/>
          <w:color w:val="00805A"/>
          <w:sz w:val="32"/>
          <w:szCs w:val="32"/>
        </w:rPr>
        <w:t xml:space="preserve">Technical Skills Summary</w:t>
      </w:r>
    </w:p>
    <w:p>
      <w:pPr>
        <w:spacing w:after="60" w:before="80"/>
      </w:pPr>
      <w:r>
        <w:rPr>
          <w:rFonts w:ascii="Calibri" w:cs="Calibri" w:eastAsia="Calibri" w:hAnsi="Calibri"/>
          <w:b/>
          <w:bCs/>
          <w:color w:val="0A0D1A"/>
          <w:sz w:val="19"/>
          <w:szCs w:val="19"/>
        </w:rPr>
        <w:t xml:space="preserve">SOC &amp; Detection:  </w:t>
      </w:r>
      <w:r>
        <w:rPr>
          <w:rFonts w:ascii="Calibri" w:cs="Calibri" w:eastAsia="Calibri" w:hAnsi="Calibri"/>
          <w:color w:val="3A3A4A"/>
          <w:sz w:val="19"/>
          <w:szCs w:val="19"/>
        </w:rPr>
        <w:t xml:space="preserve">SIEM alerting, IOC identification, brute-force detection, auth.log/syslog analysis, Suricata IDS rule writing, iptables policy configuration, Wireshark packet analysis, TCP flag interpretation, Nmap scan detection.</w:t>
      </w:r>
    </w:p>
    <w:p>
      <w:pPr>
        <w:spacing w:after="60" w:before="0"/>
      </w:pPr>
      <w:r>
        <w:rPr>
          <w:rFonts w:ascii="Calibri" w:cs="Calibri" w:eastAsia="Calibri" w:hAnsi="Calibri"/>
          <w:b/>
          <w:bCs/>
          <w:color w:val="0A0D1A"/>
          <w:sz w:val="19"/>
          <w:szCs w:val="19"/>
        </w:rPr>
        <w:t xml:space="preserve">Security Tools:  </w:t>
      </w:r>
      <w:r>
        <w:rPr>
          <w:rFonts w:ascii="Calibri" w:cs="Calibri" w:eastAsia="Calibri" w:hAnsi="Calibri"/>
          <w:color w:val="3A3A4A"/>
          <w:sz w:val="19"/>
          <w:szCs w:val="19"/>
        </w:rPr>
        <w:t xml:space="preserve">Kaspersky EDR, Trellix DLP/Database Security, Ivanti Neurons MDM, Commvault, Microsoft Sentinel, Metasploit, Hydra, Nmap, enum4linux, FTK Imager, XAMN, Autopsy, msfvenom.</w:t>
      </w:r>
    </w:p>
    <w:p>
      <w:pPr>
        <w:spacing w:after="60" w:before="0"/>
      </w:pPr>
      <w:r>
        <w:rPr>
          <w:rFonts w:ascii="Calibri" w:cs="Calibri" w:eastAsia="Calibri" w:hAnsi="Calibri"/>
          <w:b/>
          <w:bCs/>
          <w:color w:val="0A0D1A"/>
          <w:sz w:val="19"/>
          <w:szCs w:val="19"/>
        </w:rPr>
        <w:t xml:space="preserve">Digital Forensics:  </w:t>
      </w:r>
      <w:r>
        <w:rPr>
          <w:rFonts w:ascii="Calibri" w:cs="Calibri" w:eastAsia="Calibri" w:hAnsi="Calibri"/>
          <w:color w:val="3A3A4A"/>
          <w:sz w:val="19"/>
          <w:szCs w:val="19"/>
        </w:rPr>
        <w:t xml:space="preserve">Mobile forensics, disk image analysis, file carving, hash verification (MD5/SHA1), GPS data extraction, chain of custody, ACPO-compliant evidence handling, court-ready SFR reports.</w:t>
      </w:r>
    </w:p>
    <w:p>
      <w:pPr>
        <w:spacing w:after="60" w:before="0"/>
      </w:pPr>
      <w:r>
        <w:rPr>
          <w:rFonts w:ascii="Calibri" w:cs="Calibri" w:eastAsia="Calibri" w:hAnsi="Calibri"/>
          <w:b/>
          <w:bCs/>
          <w:color w:val="0A0D1A"/>
          <w:sz w:val="19"/>
          <w:szCs w:val="19"/>
        </w:rPr>
        <w:t xml:space="preserve">Frameworks &amp; Compliance:  </w:t>
      </w:r>
      <w:r>
        <w:rPr>
          <w:rFonts w:ascii="Calibri" w:cs="Calibri" w:eastAsia="Calibri" w:hAnsi="Calibri"/>
          <w:color w:val="3A3A4A"/>
          <w:sz w:val="19"/>
          <w:szCs w:val="19"/>
        </w:rPr>
        <w:t xml:space="preserve">ACPO Guidelines, NIST SP 800-63B, OWASP Top 10, NCSC 10 Steps, CVSS v3, CWE/CVE, ZTNA/Zero Trust, PCI-DSS, GDPR, NDPR, Misuse of Drugs Act 1971.</w:t>
      </w:r>
    </w:p>
    <w:p>
      <w:pPr>
        <w:pBdr>
          <w:bottom w:val="single" w:color="00805A" w:sz="8"/>
        </w:pBdr>
        <w:spacing w:after="120" w:before="400"/>
      </w:pPr>
      <w:r>
        <w:rPr>
          <w:rFonts w:ascii="Calibri" w:cs="Calibri" w:eastAsia="Calibri" w:hAnsi="Calibri"/>
          <w:b/>
          <w:bCs/>
          <w:color w:val="00805A"/>
          <w:sz w:val="32"/>
          <w:szCs w:val="32"/>
        </w:rPr>
        <w:t xml:space="preserve">Certifications &amp; Education</w:t>
      </w:r>
    </w:p>
    <w:p>
      <w:pPr>
        <w:spacing w:after="40" w:before="80"/>
      </w:pPr>
      <w:r>
        <w:rPr>
          <w:rFonts w:ascii="Calibri" w:cs="Calibri" w:eastAsia="Calibri" w:hAnsi="Calibri"/>
          <w:b/>
          <w:bCs/>
          <w:color w:val="0A0D1A"/>
          <w:sz w:val="20"/>
          <w:szCs w:val="20"/>
        </w:rPr>
        <w:t xml:space="preserve">SC-200: Microsoft Security Operations Analyst</w:t>
      </w:r>
      <w:r>
        <w:rPr>
          <w:rFonts w:ascii="Calibri" w:cs="Calibri" w:eastAsia="Calibri" w:hAnsi="Calibri"/>
          <w:color w:val="6A7080"/>
          <w:sz w:val="19"/>
          <w:szCs w:val="19"/>
        </w:rPr>
        <w:t xml:space="preserve">  |  Microsoft</w:t>
      </w:r>
    </w:p>
    <w:p>
      <w:pPr>
        <w:spacing w:after="80" w:before="0"/>
      </w:pPr>
      <w:r>
        <w:rPr>
          <w:rFonts w:ascii="Calibri" w:cs="Calibri" w:eastAsia="Calibri" w:hAnsi="Calibri"/>
          <w:b/>
          <w:bCs/>
          <w:color w:val="0A0D1A"/>
          <w:sz w:val="20"/>
          <w:szCs w:val="20"/>
        </w:rPr>
        <w:t xml:space="preserve">Certified Ethical Hacker (CEH v11)</w:t>
      </w:r>
      <w:r>
        <w:rPr>
          <w:rFonts w:ascii="Calibri" w:cs="Calibri" w:eastAsia="Calibri" w:hAnsi="Calibri"/>
          <w:color w:val="6A7080"/>
          <w:sz w:val="19"/>
          <w:szCs w:val="19"/>
        </w:rPr>
        <w:t xml:space="preserve">  |  EC-Council</w:t>
      </w:r>
    </w:p>
    <w:p>
      <w:pPr>
        <w:spacing w:after="40" w:before="40"/>
      </w:pPr>
      <w:r>
        <w:rPr>
          <w:rFonts w:ascii="Calibri" w:cs="Calibri" w:eastAsia="Calibri" w:hAnsi="Calibri"/>
          <w:b/>
          <w:bCs/>
          <w:color w:val="0A0D1A"/>
          <w:sz w:val="20"/>
          <w:szCs w:val="20"/>
        </w:rPr>
        <w:t xml:space="preserve">MSc Cybersecurity &amp; Forensic Information Technology (Merit)</w:t>
      </w:r>
      <w:r>
        <w:rPr>
          <w:rFonts w:ascii="Calibri" w:cs="Calibri" w:eastAsia="Calibri" w:hAnsi="Calibri"/>
          <w:color w:val="6A7080"/>
          <w:sz w:val="19"/>
          <w:szCs w:val="19"/>
        </w:rPr>
        <w:t xml:space="preserve">  —  University of Portsmouth</w:t>
      </w:r>
    </w:p>
    <w:p>
      <w:pPr>
        <w:spacing w:after="80" w:before="0"/>
      </w:pPr>
      <w:r>
        <w:rPr>
          <w:rFonts w:ascii="Calibri" w:cs="Calibri" w:eastAsia="Calibri" w:hAnsi="Calibri"/>
          <w:b/>
          <w:bCs/>
          <w:color w:val="0A0D1A"/>
          <w:sz w:val="20"/>
          <w:szCs w:val="20"/>
        </w:rPr>
        <w:t xml:space="preserve">BSc Computer Science (2:1)</w:t>
      </w:r>
      <w:r>
        <w:rPr>
          <w:rFonts w:ascii="Calibri" w:cs="Calibri" w:eastAsia="Calibri" w:hAnsi="Calibri"/>
          <w:color w:val="6A7080"/>
          <w:sz w:val="19"/>
          <w:szCs w:val="19"/>
        </w:rPr>
        <w:t xml:space="preserve">  —  Landmark University</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2026-05-13T19:05:56.792Z</dcterms:created>
  <dcterms:modified xsi:type="dcterms:W3CDTF">2026-05-13T19:05:56.792Z</dcterms:modified>
</cp:coreProperties>
</file>

<file path=docProps/custom.xml><?xml version="1.0" encoding="utf-8"?>
<Properties xmlns="http://schemas.openxmlformats.org/officeDocument/2006/custom-properties" xmlns:vt="http://schemas.openxmlformats.org/officeDocument/2006/docPropsVTypes"/>
</file>