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C97769" w14:textId="77777777" w:rsidR="00E329A5" w:rsidRDefault="00000000" w:rsidP="00E329A5">
      <w:pPr>
        <w:spacing w:after="80"/>
        <w:rPr>
          <w:b/>
          <w:color w:val="1B365D"/>
          <w:sz w:val="40"/>
        </w:rPr>
      </w:pPr>
      <w:r>
        <w:rPr>
          <w:b/>
          <w:color w:val="1B365D"/>
          <w:sz w:val="40"/>
        </w:rPr>
        <w:t>Methodology &amp; Strategy Note: Carbon-Aware Compute Framework</w:t>
      </w:r>
    </w:p>
    <w:p w14:paraId="46C3677F" w14:textId="33685AF8" w:rsidR="009C3D53" w:rsidRDefault="009C3D53" w:rsidP="00E329A5">
      <w:pPr>
        <w:spacing w:after="80"/>
        <w:rPr>
          <w:b/>
          <w:color w:val="1B365D"/>
          <w:sz w:val="28"/>
        </w:rPr>
      </w:pPr>
      <w:r>
        <w:t>European AI data cent</w:t>
      </w:r>
      <w:r>
        <w:t>er</w:t>
      </w:r>
      <w:r>
        <w:t>s are growing faster than the grid can decarboni</w:t>
      </w:r>
      <w:r>
        <w:t>z</w:t>
      </w:r>
      <w:r>
        <w:t>e. Unlike fixed industrial loads, batch compute workloads can shift by hours</w:t>
      </w:r>
      <w:r>
        <w:t xml:space="preserve">, </w:t>
      </w:r>
      <w:r>
        <w:t xml:space="preserve">creating an untapped arbitrage between grid carbon intensity and operational scheduling. This note documents the methodology, findings, and limitations of a framework that quantifies that arbitrage across </w:t>
      </w:r>
      <w:r>
        <w:t>four</w:t>
      </w:r>
      <w:r>
        <w:t xml:space="preserve"> European power markets.</w:t>
      </w:r>
    </w:p>
    <w:p w14:paraId="38E50EC5" w14:textId="4604F1F7" w:rsidR="00EA6B4C" w:rsidRDefault="00000000" w:rsidP="00E329A5">
      <w:pPr>
        <w:spacing w:after="80"/>
      </w:pPr>
      <w:r>
        <w:rPr>
          <w:b/>
          <w:color w:val="1B365D"/>
          <w:sz w:val="28"/>
        </w:rPr>
        <w:t xml:space="preserve">1. Executive Summary: </w:t>
      </w:r>
    </w:p>
    <w:p w14:paraId="467462AC" w14:textId="30F35A56" w:rsidR="00EA6B4C" w:rsidRDefault="00000000">
      <w:pPr>
        <w:rPr>
          <w:lang w:eastAsia="zh-TW"/>
        </w:rPr>
      </w:pPr>
      <w:r>
        <w:t>Unlike traditional industrial loads, AI compute workloads (especially large-scale training and batch inference) possess inherent temporal flexibility. This framework quantifies the optimization problem across major European grids (France, Germany, Spain, and Italy; United Kingdom was excluded post-Brexit due to insufficient data coverage)</w:t>
      </w:r>
      <w:r w:rsidR="00E329A5">
        <w:t xml:space="preserve"> through a dynamic capacity filter, allowing stakeholders to scale and assess data center flexible workloads instantly</w:t>
      </w:r>
      <w:r>
        <w:t>.</w:t>
      </w:r>
    </w:p>
    <w:p w14:paraId="34A38DEC" w14:textId="75209957" w:rsidR="00E329A5" w:rsidRDefault="002120C8" w:rsidP="00E329A5">
      <w:r>
        <w:t xml:space="preserve">This analysis reveals a structural carbon intensity delta of 300–400 gCO2/kWh between optimal and worst-case country-hour blocks. By strategically shifting a 10MW flexible workload from peak fossil-fuel blocks to optimal clean blocks—specifically scheduling in France (00:00–04:00 UTC) instead of Italy (20:00–24:00 UTC) - an operator avoids 5,349 </w:t>
      </w:r>
      <w:proofErr w:type="spellStart"/>
      <w:r w:rsidR="006E6B82">
        <w:t>ton</w:t>
      </w:r>
      <w:r w:rsidR="00AE61E2">
        <w:t>n</w:t>
      </w:r>
      <w:r w:rsidR="006E6B82">
        <w:t>es</w:t>
      </w:r>
      <w:proofErr w:type="spellEnd"/>
      <w:r>
        <w:t xml:space="preserve"> of CO2 per year. This carbon alpha is equivalent to removing approximately 2,139 passenger cars off the road annually, proving that data center flexibility can be converted directly into material, verifiable ESG impact.</w:t>
      </w:r>
    </w:p>
    <w:p w14:paraId="11C71ADE" w14:textId="5EDBE315" w:rsidR="00EA6B4C" w:rsidRDefault="00000000" w:rsidP="00E329A5">
      <w:r>
        <w:rPr>
          <w:b/>
          <w:color w:val="1B365D"/>
          <w:sz w:val="28"/>
        </w:rPr>
        <w:t>2. Data Architecture &amp; Governance</w:t>
      </w:r>
    </w:p>
    <w:p w14:paraId="2DB9E16F" w14:textId="77777777" w:rsidR="006E6B82" w:rsidRDefault="00000000" w:rsidP="006E6B82">
      <w:r>
        <w:t>To ensure institutional-grade rigor, a dual-source data pipeline was constructed utilizing a highly normalized SQL schema designed for scalability and multi-country expansion.</w:t>
      </w:r>
    </w:p>
    <w:p w14:paraId="28958E3A" w14:textId="10C341A4" w:rsidR="00EA6B4C" w:rsidRDefault="00000000" w:rsidP="006E6B82">
      <w:r>
        <w:rPr>
          <w:b/>
          <w:color w:val="4A6B82"/>
          <w:sz w:val="24"/>
        </w:rPr>
        <w:t>2.1 SQL Schema Design Principles</w:t>
      </w:r>
    </w:p>
    <w:p w14:paraId="0C7E1992" w14:textId="77777777" w:rsidR="00EA6B4C" w:rsidRDefault="00000000">
      <w:pPr>
        <w:pStyle w:val="ListBullet"/>
        <w:spacing w:after="80"/>
      </w:pPr>
      <w:r>
        <w:rPr>
          <w:b/>
        </w:rPr>
        <w:t xml:space="preserve">Country-Centric Design: </w:t>
      </w:r>
      <w:r>
        <w:t>Every table incorporates a country column from inception, transforming geographic expansion into simple INSERT operations rather than schema ALTER modifications.</w:t>
      </w:r>
    </w:p>
    <w:p w14:paraId="5CA7A8FD" w14:textId="77777777" w:rsidR="00EA6B4C" w:rsidRDefault="00000000">
      <w:pPr>
        <w:pStyle w:val="ListBullet"/>
        <w:spacing w:after="80"/>
      </w:pPr>
      <w:r>
        <w:rPr>
          <w:b/>
        </w:rPr>
        <w:t xml:space="preserve">Temporal Standardization: </w:t>
      </w:r>
      <w:r>
        <w:t>All historical metrics are stored at hourly granularity using UTC primary keys to circumvent daylight saving time bugs across jurisdictions.</w:t>
      </w:r>
    </w:p>
    <w:p w14:paraId="2307FB5A" w14:textId="77777777" w:rsidR="006E6B82" w:rsidRDefault="00000000" w:rsidP="006E6B82">
      <w:pPr>
        <w:pStyle w:val="ListBullet"/>
        <w:spacing w:after="80"/>
      </w:pPr>
      <w:r>
        <w:rPr>
          <w:b/>
        </w:rPr>
        <w:t xml:space="preserve">Decoupled Emission Factors: </w:t>
      </w:r>
      <w:r>
        <w:t>IPCC lifecycle emission factors reside in a dedicated configuration lookup table, ensuring calculation logic remains untouched during regulatory updates.</w:t>
      </w:r>
    </w:p>
    <w:p w14:paraId="1EF7F514" w14:textId="77777777" w:rsidR="006E6B82" w:rsidRDefault="006E6B82" w:rsidP="006E6B82">
      <w:pPr>
        <w:pStyle w:val="ListBullet"/>
        <w:numPr>
          <w:ilvl w:val="0"/>
          <w:numId w:val="0"/>
        </w:numPr>
        <w:spacing w:after="80"/>
        <w:ind w:left="360"/>
      </w:pPr>
    </w:p>
    <w:p w14:paraId="729879C2" w14:textId="2E08CF5D" w:rsidR="00EA6B4C" w:rsidRPr="006E6B82" w:rsidRDefault="00000000" w:rsidP="006E6B82">
      <w:pPr>
        <w:pStyle w:val="ListBullet"/>
        <w:numPr>
          <w:ilvl w:val="0"/>
          <w:numId w:val="0"/>
        </w:numPr>
        <w:spacing w:after="80"/>
        <w:rPr>
          <w:b/>
          <w:bCs/>
        </w:rPr>
      </w:pPr>
      <w:r w:rsidRPr="006E6B82">
        <w:rPr>
          <w:b/>
          <w:bCs/>
          <w:color w:val="4A6B82"/>
          <w:sz w:val="24"/>
        </w:rPr>
        <w:t>2.2 Dual-Source Validation Framework</w:t>
      </w:r>
    </w:p>
    <w:p w14:paraId="5E83EBE1" w14:textId="38957079" w:rsidR="00EA6B4C" w:rsidRDefault="00000000">
      <w:r>
        <w:lastRenderedPageBreak/>
        <w:t>Carbon intensity figures are derived from primary ENTSO-E generation mix data using published IPCC lifecycle emission factors</w:t>
      </w:r>
      <w:r w:rsidR="006E6B82">
        <w:t xml:space="preserve"> median values</w:t>
      </w:r>
      <w:r>
        <w:t xml:space="preserve"> (Gas: ~490, Coal: ~820, Nuclear: ~12, Wind: ~11, Solar: ~45 gCO2/kWh). To validate these calculations, a 90-day validation layer was ingested via the Electricity Maps API. A Mean Absolute Error (MAE) check was executed across overlapping windows:</w:t>
      </w:r>
    </w:p>
    <w:p w14:paraId="1B7F33FE" w14:textId="7D25B828" w:rsidR="006E6B82" w:rsidRDefault="00000000" w:rsidP="00AE61E2">
      <w:pPr>
        <w:spacing w:before="120" w:after="120"/>
        <w:ind w:left="360"/>
      </w:pPr>
      <w:r>
        <w:rPr>
          <w:rFonts w:ascii="Consolas" w:hAnsi="Consolas"/>
          <w:color w:val="333333"/>
          <w:sz w:val="20"/>
        </w:rPr>
        <w:t xml:space="preserve">Derived Intensity = </w:t>
      </w:r>
      <w:proofErr w:type="gramStart"/>
      <w:r>
        <w:rPr>
          <w:rFonts w:ascii="Consolas" w:hAnsi="Consolas"/>
          <w:color w:val="333333"/>
          <w:sz w:val="20"/>
        </w:rPr>
        <w:t>Sum(</w:t>
      </w:r>
      <w:proofErr w:type="gramEnd"/>
      <w:r>
        <w:rPr>
          <w:rFonts w:ascii="Consolas" w:hAnsi="Consolas"/>
          <w:color w:val="333333"/>
          <w:sz w:val="20"/>
        </w:rPr>
        <w:t>MW_by_Source * IPCC_Factor) / Total_MW</w:t>
      </w:r>
      <w:r>
        <w:rPr>
          <w:rFonts w:ascii="Consolas" w:hAnsi="Consolas"/>
          <w:color w:val="333333"/>
          <w:sz w:val="20"/>
        </w:rPr>
        <w:br/>
        <w:t xml:space="preserve">Validation Metric: MAE = </w:t>
      </w:r>
      <w:proofErr w:type="gramStart"/>
      <w:r>
        <w:rPr>
          <w:rFonts w:ascii="Consolas" w:hAnsi="Consolas"/>
          <w:color w:val="333333"/>
          <w:sz w:val="20"/>
        </w:rPr>
        <w:t>Average(</w:t>
      </w:r>
      <w:proofErr w:type="gramEnd"/>
      <w:r>
        <w:rPr>
          <w:rFonts w:ascii="Consolas" w:hAnsi="Consolas"/>
          <w:color w:val="333333"/>
          <w:sz w:val="20"/>
        </w:rPr>
        <w:t>|Derived_Intensity - Electricity_Maps_Value|)</w:t>
      </w:r>
    </w:p>
    <w:tbl>
      <w:tblPr>
        <w:tblW w:w="0" w:type="auto"/>
        <w:jc w:val="center"/>
        <w:tblLook w:val="04A0" w:firstRow="1" w:lastRow="0" w:firstColumn="1" w:lastColumn="0" w:noHBand="0" w:noVBand="1"/>
      </w:tblPr>
      <w:tblGrid>
        <w:gridCol w:w="1487"/>
        <w:gridCol w:w="1843"/>
        <w:gridCol w:w="1842"/>
        <w:gridCol w:w="2165"/>
        <w:gridCol w:w="2160"/>
      </w:tblGrid>
      <w:tr w:rsidR="006E6B82" w14:paraId="221BF9AC" w14:textId="77777777" w:rsidTr="006E6B82">
        <w:trPr>
          <w:jc w:val="center"/>
        </w:trPr>
        <w:tc>
          <w:tcPr>
            <w:tcW w:w="1487" w:type="dxa"/>
            <w:shd w:val="clear" w:color="auto" w:fill="1B365D"/>
            <w:tcMar>
              <w:top w:w="100" w:type="dxa"/>
              <w:left w:w="150" w:type="dxa"/>
              <w:bottom w:w="100" w:type="dxa"/>
              <w:right w:w="150" w:type="dxa"/>
            </w:tcMar>
          </w:tcPr>
          <w:p w14:paraId="431AE6DA" w14:textId="3915CB22" w:rsidR="006E6B82" w:rsidRPr="006E6B82" w:rsidRDefault="006E6B82" w:rsidP="00980BC4">
            <w:pPr>
              <w:rPr>
                <w:color w:val="FFFFFF" w:themeColor="background1"/>
                <w:sz w:val="20"/>
                <w:szCs w:val="20"/>
                <w:lang w:eastAsia="zh-TW"/>
              </w:rPr>
            </w:pPr>
            <w:r w:rsidRPr="006E6B82">
              <w:rPr>
                <w:color w:val="FFFFFF" w:themeColor="background1"/>
                <w:sz w:val="20"/>
                <w:szCs w:val="20"/>
                <w:lang w:eastAsia="zh-TW"/>
              </w:rPr>
              <w:t>Country</w:t>
            </w:r>
          </w:p>
        </w:tc>
        <w:tc>
          <w:tcPr>
            <w:tcW w:w="1843" w:type="dxa"/>
            <w:shd w:val="clear" w:color="auto" w:fill="1B365D"/>
            <w:tcMar>
              <w:top w:w="100" w:type="dxa"/>
              <w:left w:w="150" w:type="dxa"/>
              <w:bottom w:w="100" w:type="dxa"/>
              <w:right w:w="150" w:type="dxa"/>
            </w:tcMar>
          </w:tcPr>
          <w:p w14:paraId="7A170B3D" w14:textId="2B5BBF0B" w:rsidR="006E6B82" w:rsidRPr="006E6B82" w:rsidRDefault="006E6B82" w:rsidP="00980BC4">
            <w:pPr>
              <w:rPr>
                <w:color w:val="FFFFFF" w:themeColor="background1"/>
                <w:sz w:val="20"/>
                <w:szCs w:val="20"/>
              </w:rPr>
            </w:pPr>
            <w:r w:rsidRPr="006E6B82">
              <w:rPr>
                <w:color w:val="FFFFFF" w:themeColor="background1"/>
                <w:sz w:val="20"/>
                <w:szCs w:val="20"/>
              </w:rPr>
              <w:t>Matched Hours</w:t>
            </w:r>
          </w:p>
        </w:tc>
        <w:tc>
          <w:tcPr>
            <w:tcW w:w="1842" w:type="dxa"/>
            <w:shd w:val="clear" w:color="auto" w:fill="1B365D"/>
            <w:tcMar>
              <w:top w:w="100" w:type="dxa"/>
              <w:left w:w="150" w:type="dxa"/>
              <w:bottom w:w="100" w:type="dxa"/>
              <w:right w:w="150" w:type="dxa"/>
            </w:tcMar>
          </w:tcPr>
          <w:p w14:paraId="61171F64" w14:textId="494E2ABD" w:rsidR="006E6B82" w:rsidRPr="006E6B82" w:rsidRDefault="006E6B82" w:rsidP="00980BC4">
            <w:pPr>
              <w:rPr>
                <w:color w:val="FFFFFF" w:themeColor="background1"/>
                <w:sz w:val="20"/>
                <w:szCs w:val="20"/>
              </w:rPr>
            </w:pPr>
            <w:r w:rsidRPr="006E6B82">
              <w:rPr>
                <w:b/>
                <w:color w:val="FFFFFF" w:themeColor="background1"/>
                <w:sz w:val="20"/>
                <w:szCs w:val="20"/>
              </w:rPr>
              <w:t>MAE</w:t>
            </w:r>
          </w:p>
        </w:tc>
        <w:tc>
          <w:tcPr>
            <w:tcW w:w="2165" w:type="dxa"/>
            <w:shd w:val="clear" w:color="auto" w:fill="1B365D"/>
            <w:tcMar>
              <w:top w:w="100" w:type="dxa"/>
              <w:left w:w="150" w:type="dxa"/>
              <w:bottom w:w="100" w:type="dxa"/>
              <w:right w:w="150" w:type="dxa"/>
            </w:tcMar>
          </w:tcPr>
          <w:p w14:paraId="4F1C1F50" w14:textId="2FDFDC6E" w:rsidR="006E6B82" w:rsidRPr="006E6B82" w:rsidRDefault="006E6B82" w:rsidP="00980BC4">
            <w:pPr>
              <w:rPr>
                <w:color w:val="FFFFFF" w:themeColor="background1"/>
                <w:sz w:val="20"/>
                <w:szCs w:val="20"/>
              </w:rPr>
            </w:pPr>
            <w:r w:rsidRPr="006E6B82">
              <w:rPr>
                <w:b/>
                <w:color w:val="FFFFFF" w:themeColor="background1"/>
                <w:sz w:val="20"/>
                <w:szCs w:val="20"/>
              </w:rPr>
              <w:t>Correlation</w:t>
            </w:r>
          </w:p>
        </w:tc>
        <w:tc>
          <w:tcPr>
            <w:tcW w:w="2160" w:type="dxa"/>
            <w:shd w:val="clear" w:color="auto" w:fill="1B365D"/>
            <w:tcMar>
              <w:top w:w="100" w:type="dxa"/>
              <w:left w:w="150" w:type="dxa"/>
              <w:bottom w:w="100" w:type="dxa"/>
              <w:right w:w="150" w:type="dxa"/>
            </w:tcMar>
          </w:tcPr>
          <w:p w14:paraId="04EA0DB1" w14:textId="7208E3EF" w:rsidR="006E6B82" w:rsidRPr="006E6B82" w:rsidRDefault="006E6B82" w:rsidP="00980BC4">
            <w:pPr>
              <w:rPr>
                <w:color w:val="FFFFFF" w:themeColor="background1"/>
                <w:sz w:val="20"/>
                <w:szCs w:val="20"/>
              </w:rPr>
            </w:pPr>
            <w:r w:rsidRPr="006E6B82">
              <w:rPr>
                <w:b/>
                <w:color w:val="FFFFFF" w:themeColor="background1"/>
                <w:sz w:val="20"/>
                <w:szCs w:val="20"/>
              </w:rPr>
              <w:t>Mean Bias</w:t>
            </w:r>
          </w:p>
        </w:tc>
      </w:tr>
      <w:tr w:rsidR="006E6B82" w14:paraId="26AA5BD6" w14:textId="77777777" w:rsidTr="006E6B82">
        <w:trPr>
          <w:jc w:val="center"/>
        </w:trPr>
        <w:tc>
          <w:tcPr>
            <w:tcW w:w="1487" w:type="dxa"/>
            <w:tcMar>
              <w:top w:w="100" w:type="dxa"/>
              <w:left w:w="150" w:type="dxa"/>
              <w:bottom w:w="100" w:type="dxa"/>
              <w:right w:w="150" w:type="dxa"/>
            </w:tcMar>
          </w:tcPr>
          <w:p w14:paraId="26460212" w14:textId="5A27E77B" w:rsidR="006E6B82" w:rsidRPr="006E6B82" w:rsidRDefault="006E6B82" w:rsidP="00980BC4">
            <w:pPr>
              <w:rPr>
                <w:sz w:val="20"/>
                <w:szCs w:val="20"/>
              </w:rPr>
            </w:pPr>
            <w:r w:rsidRPr="006E6B82">
              <w:rPr>
                <w:sz w:val="20"/>
                <w:szCs w:val="20"/>
              </w:rPr>
              <w:t>DE_LU</w:t>
            </w:r>
          </w:p>
        </w:tc>
        <w:tc>
          <w:tcPr>
            <w:tcW w:w="1843" w:type="dxa"/>
            <w:tcMar>
              <w:top w:w="100" w:type="dxa"/>
              <w:left w:w="150" w:type="dxa"/>
              <w:bottom w:w="100" w:type="dxa"/>
              <w:right w:w="150" w:type="dxa"/>
            </w:tcMar>
          </w:tcPr>
          <w:p w14:paraId="66CA240F" w14:textId="6EB11D37" w:rsidR="006E6B82" w:rsidRPr="006E6B82" w:rsidRDefault="006E6B82" w:rsidP="00980BC4">
            <w:pPr>
              <w:rPr>
                <w:sz w:val="20"/>
                <w:szCs w:val="20"/>
              </w:rPr>
            </w:pPr>
            <w:r w:rsidRPr="006E6B82">
              <w:rPr>
                <w:sz w:val="20"/>
                <w:szCs w:val="20"/>
              </w:rPr>
              <w:t>2160</w:t>
            </w:r>
          </w:p>
        </w:tc>
        <w:tc>
          <w:tcPr>
            <w:tcW w:w="1842" w:type="dxa"/>
            <w:tcMar>
              <w:top w:w="100" w:type="dxa"/>
              <w:left w:w="150" w:type="dxa"/>
              <w:bottom w:w="100" w:type="dxa"/>
              <w:right w:w="150" w:type="dxa"/>
            </w:tcMar>
          </w:tcPr>
          <w:p w14:paraId="73D64423" w14:textId="6D1ABDEE" w:rsidR="006E6B82" w:rsidRPr="006E6B82" w:rsidRDefault="006E6B82" w:rsidP="00980BC4">
            <w:pPr>
              <w:rPr>
                <w:sz w:val="20"/>
                <w:szCs w:val="20"/>
              </w:rPr>
            </w:pPr>
            <w:r w:rsidRPr="006E6B82">
              <w:rPr>
                <w:sz w:val="20"/>
                <w:szCs w:val="20"/>
              </w:rPr>
              <w:t>109.64</w:t>
            </w:r>
          </w:p>
        </w:tc>
        <w:tc>
          <w:tcPr>
            <w:tcW w:w="2165" w:type="dxa"/>
            <w:tcMar>
              <w:top w:w="100" w:type="dxa"/>
              <w:left w:w="150" w:type="dxa"/>
              <w:bottom w:w="100" w:type="dxa"/>
              <w:right w:w="150" w:type="dxa"/>
            </w:tcMar>
          </w:tcPr>
          <w:p w14:paraId="7E00FA1B" w14:textId="7C5F12CF" w:rsidR="006E6B82" w:rsidRPr="006E6B82" w:rsidRDefault="006E6B82" w:rsidP="00980BC4">
            <w:pPr>
              <w:rPr>
                <w:sz w:val="20"/>
                <w:szCs w:val="20"/>
              </w:rPr>
            </w:pPr>
            <w:r w:rsidRPr="006E6B82">
              <w:rPr>
                <w:sz w:val="20"/>
                <w:szCs w:val="20"/>
              </w:rPr>
              <w:t>0.9424</w:t>
            </w:r>
          </w:p>
        </w:tc>
        <w:tc>
          <w:tcPr>
            <w:tcW w:w="2160" w:type="dxa"/>
            <w:tcMar>
              <w:top w:w="100" w:type="dxa"/>
              <w:left w:w="150" w:type="dxa"/>
              <w:bottom w:w="100" w:type="dxa"/>
              <w:right w:w="150" w:type="dxa"/>
            </w:tcMar>
          </w:tcPr>
          <w:p w14:paraId="0687E6B5" w14:textId="6721235C" w:rsidR="006E6B82" w:rsidRPr="006E6B82" w:rsidRDefault="006E6B82" w:rsidP="00980BC4">
            <w:pPr>
              <w:rPr>
                <w:sz w:val="20"/>
                <w:szCs w:val="20"/>
              </w:rPr>
            </w:pPr>
            <w:r w:rsidRPr="006E6B82">
              <w:rPr>
                <w:sz w:val="20"/>
                <w:szCs w:val="20"/>
              </w:rPr>
              <w:t>-109.5</w:t>
            </w:r>
          </w:p>
        </w:tc>
      </w:tr>
      <w:tr w:rsidR="006E6B82" w14:paraId="4E93BC17" w14:textId="77777777" w:rsidTr="006E6B82">
        <w:trPr>
          <w:jc w:val="center"/>
        </w:trPr>
        <w:tc>
          <w:tcPr>
            <w:tcW w:w="1487" w:type="dxa"/>
            <w:shd w:val="clear" w:color="auto" w:fill="F7F9FA"/>
            <w:tcMar>
              <w:top w:w="100" w:type="dxa"/>
              <w:left w:w="150" w:type="dxa"/>
              <w:bottom w:w="100" w:type="dxa"/>
              <w:right w:w="150" w:type="dxa"/>
            </w:tcMar>
          </w:tcPr>
          <w:p w14:paraId="7091EF6A" w14:textId="5EBFF895" w:rsidR="006E6B82" w:rsidRPr="006E6B82" w:rsidRDefault="006E6B82" w:rsidP="00980BC4">
            <w:pPr>
              <w:rPr>
                <w:sz w:val="20"/>
                <w:szCs w:val="20"/>
              </w:rPr>
            </w:pPr>
            <w:r w:rsidRPr="006E6B82">
              <w:rPr>
                <w:sz w:val="20"/>
                <w:szCs w:val="20"/>
              </w:rPr>
              <w:t>ES</w:t>
            </w:r>
          </w:p>
        </w:tc>
        <w:tc>
          <w:tcPr>
            <w:tcW w:w="1843" w:type="dxa"/>
            <w:shd w:val="clear" w:color="auto" w:fill="F7F9FA"/>
            <w:tcMar>
              <w:top w:w="100" w:type="dxa"/>
              <w:left w:w="150" w:type="dxa"/>
              <w:bottom w:w="100" w:type="dxa"/>
              <w:right w:w="150" w:type="dxa"/>
            </w:tcMar>
          </w:tcPr>
          <w:p w14:paraId="299AAB12" w14:textId="6A8C97E0" w:rsidR="006E6B82" w:rsidRPr="006E6B82" w:rsidRDefault="006E6B82" w:rsidP="00980BC4">
            <w:pPr>
              <w:rPr>
                <w:sz w:val="20"/>
                <w:szCs w:val="20"/>
              </w:rPr>
            </w:pPr>
            <w:r w:rsidRPr="006E6B82">
              <w:rPr>
                <w:sz w:val="20"/>
                <w:szCs w:val="20"/>
              </w:rPr>
              <w:t>2160</w:t>
            </w:r>
          </w:p>
        </w:tc>
        <w:tc>
          <w:tcPr>
            <w:tcW w:w="1842" w:type="dxa"/>
            <w:shd w:val="clear" w:color="auto" w:fill="F7F9FA"/>
            <w:tcMar>
              <w:top w:w="100" w:type="dxa"/>
              <w:left w:w="150" w:type="dxa"/>
              <w:bottom w:w="100" w:type="dxa"/>
              <w:right w:w="150" w:type="dxa"/>
            </w:tcMar>
          </w:tcPr>
          <w:p w14:paraId="2DA1AB3B" w14:textId="0B9A210F" w:rsidR="006E6B82" w:rsidRPr="006E6B82" w:rsidRDefault="006E6B82" w:rsidP="00980BC4">
            <w:pPr>
              <w:rPr>
                <w:sz w:val="20"/>
                <w:szCs w:val="20"/>
              </w:rPr>
            </w:pPr>
            <w:r w:rsidRPr="006E6B82">
              <w:rPr>
                <w:sz w:val="20"/>
                <w:szCs w:val="20"/>
              </w:rPr>
              <w:t>8.56</w:t>
            </w:r>
          </w:p>
        </w:tc>
        <w:tc>
          <w:tcPr>
            <w:tcW w:w="2165" w:type="dxa"/>
            <w:shd w:val="clear" w:color="auto" w:fill="F7F9FA"/>
            <w:tcMar>
              <w:top w:w="100" w:type="dxa"/>
              <w:left w:w="150" w:type="dxa"/>
              <w:bottom w:w="100" w:type="dxa"/>
              <w:right w:w="150" w:type="dxa"/>
            </w:tcMar>
          </w:tcPr>
          <w:p w14:paraId="2E32BA2C" w14:textId="4137E85C" w:rsidR="006E6B82" w:rsidRPr="006E6B82" w:rsidRDefault="006E6B82" w:rsidP="00980BC4">
            <w:pPr>
              <w:rPr>
                <w:sz w:val="20"/>
                <w:szCs w:val="20"/>
              </w:rPr>
            </w:pPr>
            <w:r w:rsidRPr="006E6B82">
              <w:rPr>
                <w:sz w:val="20"/>
                <w:szCs w:val="20"/>
              </w:rPr>
              <w:t>0.9759</w:t>
            </w:r>
          </w:p>
        </w:tc>
        <w:tc>
          <w:tcPr>
            <w:tcW w:w="2160" w:type="dxa"/>
            <w:shd w:val="clear" w:color="auto" w:fill="F7F9FA"/>
            <w:tcMar>
              <w:top w:w="100" w:type="dxa"/>
              <w:left w:w="150" w:type="dxa"/>
              <w:bottom w:w="100" w:type="dxa"/>
              <w:right w:w="150" w:type="dxa"/>
            </w:tcMar>
          </w:tcPr>
          <w:p w14:paraId="6B1CE540" w14:textId="61D21BD2" w:rsidR="006E6B82" w:rsidRPr="006E6B82" w:rsidRDefault="006E6B82" w:rsidP="00980BC4">
            <w:pPr>
              <w:rPr>
                <w:sz w:val="20"/>
                <w:szCs w:val="20"/>
              </w:rPr>
            </w:pPr>
            <w:r w:rsidRPr="006E6B82">
              <w:rPr>
                <w:sz w:val="20"/>
                <w:szCs w:val="20"/>
              </w:rPr>
              <w:t>7.58</w:t>
            </w:r>
          </w:p>
        </w:tc>
      </w:tr>
      <w:tr w:rsidR="006E6B82" w14:paraId="2B040217" w14:textId="77777777" w:rsidTr="006E6B82">
        <w:trPr>
          <w:jc w:val="center"/>
        </w:trPr>
        <w:tc>
          <w:tcPr>
            <w:tcW w:w="1487" w:type="dxa"/>
            <w:tcMar>
              <w:top w:w="100" w:type="dxa"/>
              <w:left w:w="150" w:type="dxa"/>
              <w:bottom w:w="100" w:type="dxa"/>
              <w:right w:w="150" w:type="dxa"/>
            </w:tcMar>
          </w:tcPr>
          <w:p w14:paraId="14A39127" w14:textId="3032F15C" w:rsidR="006E6B82" w:rsidRPr="006E6B82" w:rsidRDefault="006E6B82" w:rsidP="00980BC4">
            <w:pPr>
              <w:rPr>
                <w:sz w:val="20"/>
                <w:szCs w:val="20"/>
              </w:rPr>
            </w:pPr>
            <w:r w:rsidRPr="006E6B82">
              <w:rPr>
                <w:sz w:val="20"/>
                <w:szCs w:val="20"/>
              </w:rPr>
              <w:t>FR</w:t>
            </w:r>
          </w:p>
        </w:tc>
        <w:tc>
          <w:tcPr>
            <w:tcW w:w="1843" w:type="dxa"/>
            <w:tcMar>
              <w:top w:w="100" w:type="dxa"/>
              <w:left w:w="150" w:type="dxa"/>
              <w:bottom w:w="100" w:type="dxa"/>
              <w:right w:w="150" w:type="dxa"/>
            </w:tcMar>
          </w:tcPr>
          <w:p w14:paraId="620453FE" w14:textId="35ADE3D3" w:rsidR="006E6B82" w:rsidRPr="006E6B82" w:rsidRDefault="006E6B82" w:rsidP="00980BC4">
            <w:pPr>
              <w:rPr>
                <w:sz w:val="20"/>
                <w:szCs w:val="20"/>
              </w:rPr>
            </w:pPr>
            <w:r w:rsidRPr="006E6B82">
              <w:rPr>
                <w:sz w:val="20"/>
                <w:szCs w:val="20"/>
              </w:rPr>
              <w:t>2160</w:t>
            </w:r>
          </w:p>
        </w:tc>
        <w:tc>
          <w:tcPr>
            <w:tcW w:w="1842" w:type="dxa"/>
            <w:tcMar>
              <w:top w:w="100" w:type="dxa"/>
              <w:left w:w="150" w:type="dxa"/>
              <w:bottom w:w="100" w:type="dxa"/>
              <w:right w:w="150" w:type="dxa"/>
            </w:tcMar>
          </w:tcPr>
          <w:p w14:paraId="5B171468" w14:textId="34622861" w:rsidR="006E6B82" w:rsidRPr="006E6B82" w:rsidRDefault="006E6B82" w:rsidP="00980BC4">
            <w:pPr>
              <w:rPr>
                <w:sz w:val="20"/>
                <w:szCs w:val="20"/>
              </w:rPr>
            </w:pPr>
            <w:r w:rsidRPr="006E6B82">
              <w:rPr>
                <w:sz w:val="20"/>
                <w:szCs w:val="20"/>
              </w:rPr>
              <w:t>5.70</w:t>
            </w:r>
          </w:p>
        </w:tc>
        <w:tc>
          <w:tcPr>
            <w:tcW w:w="2165" w:type="dxa"/>
            <w:tcMar>
              <w:top w:w="100" w:type="dxa"/>
              <w:left w:w="150" w:type="dxa"/>
              <w:bottom w:w="100" w:type="dxa"/>
              <w:right w:w="150" w:type="dxa"/>
            </w:tcMar>
          </w:tcPr>
          <w:p w14:paraId="1F76D185" w14:textId="0D3276FD" w:rsidR="006E6B82" w:rsidRPr="006E6B82" w:rsidRDefault="006E6B82" w:rsidP="00980BC4">
            <w:pPr>
              <w:rPr>
                <w:sz w:val="20"/>
                <w:szCs w:val="20"/>
              </w:rPr>
            </w:pPr>
            <w:r w:rsidRPr="006E6B82">
              <w:rPr>
                <w:sz w:val="20"/>
                <w:szCs w:val="20"/>
              </w:rPr>
              <w:t>0.9662</w:t>
            </w:r>
          </w:p>
        </w:tc>
        <w:tc>
          <w:tcPr>
            <w:tcW w:w="2160" w:type="dxa"/>
            <w:tcMar>
              <w:top w:w="100" w:type="dxa"/>
              <w:left w:w="150" w:type="dxa"/>
              <w:bottom w:w="100" w:type="dxa"/>
              <w:right w:w="150" w:type="dxa"/>
            </w:tcMar>
          </w:tcPr>
          <w:p w14:paraId="2C5098D6" w14:textId="403BC566" w:rsidR="006E6B82" w:rsidRPr="006E6B82" w:rsidRDefault="006E6B82" w:rsidP="00980BC4">
            <w:pPr>
              <w:rPr>
                <w:sz w:val="20"/>
                <w:szCs w:val="20"/>
              </w:rPr>
            </w:pPr>
            <w:r w:rsidRPr="006E6B82">
              <w:rPr>
                <w:sz w:val="20"/>
                <w:szCs w:val="20"/>
              </w:rPr>
              <w:t>5.69</w:t>
            </w:r>
          </w:p>
        </w:tc>
      </w:tr>
      <w:tr w:rsidR="006E6B82" w14:paraId="0B510CC2" w14:textId="77777777" w:rsidTr="006E6B82">
        <w:trPr>
          <w:jc w:val="center"/>
        </w:trPr>
        <w:tc>
          <w:tcPr>
            <w:tcW w:w="1487" w:type="dxa"/>
            <w:shd w:val="clear" w:color="auto" w:fill="F7F9FA"/>
            <w:tcMar>
              <w:top w:w="100" w:type="dxa"/>
              <w:left w:w="150" w:type="dxa"/>
              <w:bottom w:w="100" w:type="dxa"/>
              <w:right w:w="150" w:type="dxa"/>
            </w:tcMar>
          </w:tcPr>
          <w:p w14:paraId="53D0F69C" w14:textId="6D7C9A29" w:rsidR="006E6B82" w:rsidRPr="006E6B82" w:rsidRDefault="006E6B82" w:rsidP="00980BC4">
            <w:pPr>
              <w:rPr>
                <w:sz w:val="20"/>
                <w:szCs w:val="20"/>
              </w:rPr>
            </w:pPr>
            <w:r w:rsidRPr="006E6B82">
              <w:rPr>
                <w:sz w:val="20"/>
                <w:szCs w:val="20"/>
              </w:rPr>
              <w:t>IT</w:t>
            </w:r>
          </w:p>
        </w:tc>
        <w:tc>
          <w:tcPr>
            <w:tcW w:w="1843" w:type="dxa"/>
            <w:shd w:val="clear" w:color="auto" w:fill="F7F9FA"/>
            <w:tcMar>
              <w:top w:w="100" w:type="dxa"/>
              <w:left w:w="150" w:type="dxa"/>
              <w:bottom w:w="100" w:type="dxa"/>
              <w:right w:w="150" w:type="dxa"/>
            </w:tcMar>
          </w:tcPr>
          <w:p w14:paraId="129198BD" w14:textId="50ADBEB9" w:rsidR="006E6B82" w:rsidRPr="006E6B82" w:rsidRDefault="006E6B82" w:rsidP="00980BC4">
            <w:pPr>
              <w:rPr>
                <w:sz w:val="20"/>
                <w:szCs w:val="20"/>
              </w:rPr>
            </w:pPr>
            <w:r w:rsidRPr="006E6B82">
              <w:rPr>
                <w:sz w:val="20"/>
                <w:szCs w:val="20"/>
              </w:rPr>
              <w:t>2160</w:t>
            </w:r>
          </w:p>
        </w:tc>
        <w:tc>
          <w:tcPr>
            <w:tcW w:w="1842" w:type="dxa"/>
            <w:shd w:val="clear" w:color="auto" w:fill="F7F9FA"/>
            <w:tcMar>
              <w:top w:w="100" w:type="dxa"/>
              <w:left w:w="150" w:type="dxa"/>
              <w:bottom w:w="100" w:type="dxa"/>
              <w:right w:w="150" w:type="dxa"/>
            </w:tcMar>
          </w:tcPr>
          <w:p w14:paraId="769D4ADF" w14:textId="10B0BB57" w:rsidR="006E6B82" w:rsidRPr="006E6B82" w:rsidRDefault="006E6B82" w:rsidP="00980BC4">
            <w:pPr>
              <w:rPr>
                <w:sz w:val="20"/>
                <w:szCs w:val="20"/>
              </w:rPr>
            </w:pPr>
            <w:r w:rsidRPr="006E6B82">
              <w:rPr>
                <w:sz w:val="20"/>
                <w:szCs w:val="20"/>
              </w:rPr>
              <w:t>48.49</w:t>
            </w:r>
          </w:p>
        </w:tc>
        <w:tc>
          <w:tcPr>
            <w:tcW w:w="2165" w:type="dxa"/>
            <w:shd w:val="clear" w:color="auto" w:fill="F7F9FA"/>
            <w:tcMar>
              <w:top w:w="100" w:type="dxa"/>
              <w:left w:w="150" w:type="dxa"/>
              <w:bottom w:w="100" w:type="dxa"/>
              <w:right w:w="150" w:type="dxa"/>
            </w:tcMar>
          </w:tcPr>
          <w:p w14:paraId="0B4E4068" w14:textId="73315373" w:rsidR="006E6B82" w:rsidRPr="006E6B82" w:rsidRDefault="006E6B82" w:rsidP="00980BC4">
            <w:pPr>
              <w:rPr>
                <w:sz w:val="20"/>
                <w:szCs w:val="20"/>
              </w:rPr>
            </w:pPr>
            <w:r w:rsidRPr="006E6B82">
              <w:rPr>
                <w:sz w:val="20"/>
                <w:szCs w:val="20"/>
              </w:rPr>
              <w:t>0.9628</w:t>
            </w:r>
          </w:p>
        </w:tc>
        <w:tc>
          <w:tcPr>
            <w:tcW w:w="2160" w:type="dxa"/>
            <w:shd w:val="clear" w:color="auto" w:fill="F7F9FA"/>
            <w:tcMar>
              <w:top w:w="100" w:type="dxa"/>
              <w:left w:w="150" w:type="dxa"/>
              <w:bottom w:w="100" w:type="dxa"/>
              <w:right w:w="150" w:type="dxa"/>
            </w:tcMar>
          </w:tcPr>
          <w:p w14:paraId="54097EC4" w14:textId="7917D734" w:rsidR="006E6B82" w:rsidRPr="006E6B82" w:rsidRDefault="006E6B82" w:rsidP="00980BC4">
            <w:pPr>
              <w:rPr>
                <w:sz w:val="20"/>
                <w:szCs w:val="20"/>
              </w:rPr>
            </w:pPr>
            <w:r w:rsidRPr="006E6B82">
              <w:rPr>
                <w:sz w:val="20"/>
                <w:szCs w:val="20"/>
              </w:rPr>
              <w:t>42.19</w:t>
            </w:r>
          </w:p>
        </w:tc>
      </w:tr>
    </w:tbl>
    <w:p w14:paraId="6628C5EB" w14:textId="77777777" w:rsidR="006E6B82" w:rsidRDefault="006E6B82" w:rsidP="006E6B82">
      <w:pPr>
        <w:rPr>
          <w:lang w:eastAsia="zh-TW"/>
        </w:rPr>
      </w:pPr>
    </w:p>
    <w:p w14:paraId="357C47EF" w14:textId="38542FF0" w:rsidR="006E6B82" w:rsidRDefault="006E6B82" w:rsidP="006E6B82">
      <w:pPr>
        <w:rPr>
          <w:lang w:eastAsia="zh-TW"/>
        </w:rPr>
      </w:pPr>
      <w:r>
        <w:rPr>
          <w:lang w:eastAsia="zh-TW"/>
        </w:rPr>
        <w:t>Divergence is expected due to two methodological differences in Electricity Maps from this analysis:</w:t>
      </w:r>
    </w:p>
    <w:p w14:paraId="2C1D37E8" w14:textId="6A941B70" w:rsidR="006E6B82" w:rsidRDefault="006E6B82" w:rsidP="006E6B82">
      <w:pPr>
        <w:pStyle w:val="ListParagraph"/>
        <w:numPr>
          <w:ilvl w:val="0"/>
          <w:numId w:val="11"/>
        </w:numPr>
        <w:shd w:val="clear" w:color="auto" w:fill="FFFFFF"/>
        <w:spacing w:after="0" w:line="270" w:lineRule="atLeast"/>
        <w:rPr>
          <w:rFonts w:eastAsia="Times New Roman" w:cs="Arial"/>
          <w:color w:val="3B3B3B"/>
          <w:lang w:eastAsia="zh-TW"/>
        </w:rPr>
      </w:pPr>
      <w:r w:rsidRPr="006E6B82">
        <w:rPr>
          <w:b/>
          <w:bCs/>
          <w:lang w:eastAsia="zh-TW"/>
        </w:rPr>
        <w:t>Consumption-based vs Production-based:</w:t>
      </w:r>
      <w:r>
        <w:rPr>
          <w:lang w:eastAsia="zh-TW"/>
        </w:rPr>
        <w:t xml:space="preserve"> </w:t>
      </w:r>
      <w:r w:rsidRPr="006E6B82">
        <w:rPr>
          <w:rFonts w:eastAsia="Times New Roman" w:cs="Arial"/>
          <w:color w:val="3B3B3B"/>
          <w:lang w:eastAsia="zh-TW"/>
        </w:rPr>
        <w:t>EM applies a flow-tracing algorith</w:t>
      </w:r>
      <w:r>
        <w:rPr>
          <w:rFonts w:eastAsia="Times New Roman" w:cs="Arial"/>
          <w:color w:val="3B3B3B"/>
          <w:lang w:eastAsia="zh-TW"/>
        </w:rPr>
        <w:t xml:space="preserve">m </w:t>
      </w:r>
      <w:r w:rsidRPr="006E6B82">
        <w:rPr>
          <w:rFonts w:eastAsia="Times New Roman" w:cs="Arial"/>
          <w:color w:val="3B3B3B"/>
          <w:lang w:eastAsia="zh-TW"/>
        </w:rPr>
        <w:t>that attributes imported electricity to the consuming country. This analysis uses</w:t>
      </w:r>
      <w:r>
        <w:rPr>
          <w:rFonts w:eastAsia="Times New Roman" w:cs="Arial"/>
          <w:color w:val="3B3B3B"/>
          <w:lang w:eastAsia="zh-TW"/>
        </w:rPr>
        <w:t xml:space="preserve"> </w:t>
      </w:r>
      <w:r w:rsidRPr="006E6B82">
        <w:rPr>
          <w:rFonts w:eastAsia="Times New Roman" w:cs="Arial"/>
          <w:color w:val="3B3B3B"/>
          <w:lang w:eastAsia="zh-TW"/>
        </w:rPr>
        <w:t>production-based intensity (ENTSO-E domestic generation mix only). Net-importing</w:t>
      </w:r>
      <w:r>
        <w:rPr>
          <w:rFonts w:eastAsia="Times New Roman" w:cs="Arial"/>
          <w:color w:val="3B3B3B"/>
          <w:lang w:eastAsia="zh-TW"/>
        </w:rPr>
        <w:t xml:space="preserve"> </w:t>
      </w:r>
      <w:r w:rsidRPr="006E6B82">
        <w:rPr>
          <w:rFonts w:eastAsia="Times New Roman" w:cs="Arial"/>
          <w:color w:val="3B3B3B"/>
          <w:lang w:eastAsia="zh-TW"/>
        </w:rPr>
        <w:t>countries (IT) show derived &gt; EM because low-carbon imports (FR nuclear, CH hydro)</w:t>
      </w:r>
      <w:r>
        <w:rPr>
          <w:rFonts w:eastAsia="Times New Roman" w:cs="Arial"/>
          <w:color w:val="3B3B3B"/>
          <w:lang w:eastAsia="zh-TW"/>
        </w:rPr>
        <w:t xml:space="preserve"> </w:t>
      </w:r>
      <w:r w:rsidRPr="006E6B82">
        <w:rPr>
          <w:rFonts w:eastAsia="Times New Roman" w:cs="Arial"/>
          <w:color w:val="3B3B3B"/>
          <w:lang w:eastAsia="zh-TW"/>
        </w:rPr>
        <w:t>are visible to EM but not to our calculation.</w:t>
      </w:r>
    </w:p>
    <w:p w14:paraId="61F54B77" w14:textId="421996C8" w:rsidR="006E6B82" w:rsidRPr="006E6B82" w:rsidRDefault="006E6B82" w:rsidP="006E6B82">
      <w:pPr>
        <w:pStyle w:val="ListParagraph"/>
        <w:numPr>
          <w:ilvl w:val="0"/>
          <w:numId w:val="11"/>
        </w:numPr>
        <w:shd w:val="clear" w:color="auto" w:fill="FFFFFF"/>
        <w:spacing w:after="0" w:line="270" w:lineRule="atLeast"/>
        <w:rPr>
          <w:rFonts w:eastAsia="Times New Roman" w:cs="Arial"/>
          <w:color w:val="3B3B3B"/>
          <w:sz w:val="20"/>
          <w:szCs w:val="20"/>
          <w:lang w:eastAsia="zh-TW"/>
        </w:rPr>
      </w:pPr>
      <w:r w:rsidRPr="006E6B82">
        <w:rPr>
          <w:b/>
          <w:bCs/>
          <w:lang w:eastAsia="zh-TW"/>
        </w:rPr>
        <w:t>Grid-</w:t>
      </w:r>
      <w:r w:rsidRPr="006E6B82">
        <w:rPr>
          <w:rFonts w:eastAsia="Times New Roman" w:cs="Arial"/>
          <w:b/>
          <w:bCs/>
          <w:color w:val="3B3B3B"/>
          <w:lang w:eastAsia="zh-TW"/>
        </w:rPr>
        <w:t>specific vs IPCC generic emission factors:</w:t>
      </w:r>
      <w:r w:rsidRPr="006E6B82">
        <w:rPr>
          <w:rFonts w:eastAsia="Times New Roman" w:cs="Arial"/>
          <w:color w:val="3B3B3B"/>
          <w:lang w:eastAsia="zh-TW"/>
        </w:rPr>
        <w:t xml:space="preserve"> In Europe, EM derives emission factors from EU-ETS reported plant-level emissions divided by ENTSO-E generation, updated annually. This captures country-specific fuel characteristics that IPCC AR5 generic medians do not</w:t>
      </w:r>
      <w:r>
        <w:rPr>
          <w:rFonts w:eastAsia="Times New Roman" w:cs="Arial"/>
          <w:color w:val="3B3B3B"/>
          <w:lang w:eastAsia="zh-TW"/>
        </w:rPr>
        <w:t>.</w:t>
      </w:r>
      <w:r w:rsidRPr="006E6B82">
        <w:rPr>
          <w:rFonts w:eastAsia="Times New Roman" w:cs="Arial"/>
          <w:color w:val="3B3B3B"/>
          <w:lang w:eastAsia="zh-TW"/>
        </w:rPr>
        <w:t xml:space="preserve"> </w:t>
      </w:r>
      <w:r>
        <w:rPr>
          <w:rFonts w:eastAsia="Times New Roman" w:cs="Arial"/>
          <w:color w:val="3B3B3B"/>
          <w:lang w:eastAsia="zh-TW"/>
        </w:rPr>
        <w:t>N</w:t>
      </w:r>
      <w:r w:rsidRPr="006E6B82">
        <w:rPr>
          <w:rFonts w:eastAsia="Times New Roman" w:cs="Arial"/>
          <w:color w:val="3B3B3B"/>
          <w:lang w:eastAsia="zh-TW"/>
        </w:rPr>
        <w:t>otably, Germany's high lignite share, where actual plant emissions (~900–1200 gCO2/kWh) exceed the IPCC coal median (820 gCO2/kWh) used here. This causes derived &lt; EM for DE_LU.</w:t>
      </w:r>
    </w:p>
    <w:p w14:paraId="3C06526B" w14:textId="77777777" w:rsidR="006E6B82" w:rsidRDefault="006E6B82" w:rsidP="006E6B82">
      <w:pPr>
        <w:shd w:val="clear" w:color="auto" w:fill="FFFFFF"/>
        <w:spacing w:after="0" w:line="270" w:lineRule="atLeast"/>
        <w:rPr>
          <w:rFonts w:eastAsia="Times New Roman" w:cs="Arial"/>
          <w:color w:val="3B3B3B"/>
          <w:sz w:val="20"/>
          <w:szCs w:val="20"/>
          <w:lang w:eastAsia="zh-TW"/>
        </w:rPr>
      </w:pPr>
    </w:p>
    <w:p w14:paraId="7E13BF35" w14:textId="569B3D4D" w:rsidR="00071571" w:rsidRDefault="00AE61E2" w:rsidP="006E6B82">
      <w:pPr>
        <w:rPr>
          <w:lang w:eastAsia="zh-TW"/>
        </w:rPr>
      </w:pPr>
      <w:r>
        <w:t xml:space="preserve">The MAE for FR and ES (5.70 and 8.56 </w:t>
      </w:r>
      <w:proofErr w:type="spellStart"/>
      <w:r>
        <w:t>gCO</w:t>
      </w:r>
      <w:proofErr w:type="spellEnd"/>
      <w:r>
        <w:rPr>
          <w:rFonts w:ascii="Cambria Math" w:hAnsi="Cambria Math" w:cs="Cambria Math"/>
        </w:rPr>
        <w:t>₂</w:t>
      </w:r>
      <w:r>
        <w:t xml:space="preserve">/kWh respectively) </w:t>
      </w:r>
      <w:proofErr w:type="gramStart"/>
      <w:r>
        <w:t>confirms</w:t>
      </w:r>
      <w:proofErr w:type="gramEnd"/>
      <w:r>
        <w:t xml:space="preserve"> the methodology is sound for low-fossil grids. DE_LU's elevated MAE (109.64) is structurally explained by lignite-specific emission factors, not data error. The high correlation across all four countries (r &gt; 0.94) confirms the derived series captures the correct directional signal for dispatch ranking purposes.</w:t>
      </w:r>
    </w:p>
    <w:p w14:paraId="0C056EA0" w14:textId="0C2A7D42" w:rsidR="00071571" w:rsidRPr="00071571" w:rsidRDefault="00071571" w:rsidP="00071571">
      <w:pPr>
        <w:pStyle w:val="ListParagraph"/>
        <w:numPr>
          <w:ilvl w:val="1"/>
          <w:numId w:val="11"/>
        </w:numPr>
        <w:rPr>
          <w:b/>
          <w:bCs/>
          <w:color w:val="4A6B82"/>
          <w:sz w:val="24"/>
        </w:rPr>
      </w:pPr>
      <w:r w:rsidRPr="00071571">
        <w:rPr>
          <w:b/>
          <w:bCs/>
          <w:color w:val="4A6B82"/>
          <w:sz w:val="24"/>
        </w:rPr>
        <w:t>Data Scope Notes</w:t>
      </w:r>
    </w:p>
    <w:p w14:paraId="270BD657" w14:textId="5AFB7EA6" w:rsidR="00071571" w:rsidRPr="00071571" w:rsidRDefault="00071571" w:rsidP="00071571">
      <w:r w:rsidRPr="00071571">
        <w:rPr>
          <w:rStyle w:val="citation-514"/>
        </w:rPr>
        <w:t>GB data was excluded from the primary analysis. Post-Brexit, GB operates under a separate market structure (N2EX/</w:t>
      </w:r>
      <w:proofErr w:type="spellStart"/>
      <w:r w:rsidRPr="00071571">
        <w:rPr>
          <w:rStyle w:val="citation-514"/>
        </w:rPr>
        <w:t>Elexon</w:t>
      </w:r>
      <w:proofErr w:type="spellEnd"/>
      <w:r w:rsidRPr="00071571">
        <w:rPr>
          <w:rStyle w:val="citation-514"/>
        </w:rPr>
        <w:t>) rather than ENTSO-E's standard reporting format</w:t>
      </w:r>
      <w:r w:rsidRPr="00071571">
        <w:t xml:space="preserve">. </w:t>
      </w:r>
      <w:r w:rsidRPr="00071571">
        <w:rPr>
          <w:rStyle w:val="citation-513"/>
        </w:rPr>
        <w:t xml:space="preserve">ENTSO-E </w:t>
      </w:r>
      <w:r w:rsidRPr="00071571">
        <w:rPr>
          <w:rStyle w:val="citation-513"/>
        </w:rPr>
        <w:lastRenderedPageBreak/>
        <w:t>data coverage for GB is available but exhibits higher reporting latency and source-type aggregation inconsistencies relative to the four continental markets</w:t>
      </w:r>
      <w:r w:rsidRPr="00071571">
        <w:t xml:space="preserve">. </w:t>
      </w:r>
      <w:r w:rsidRPr="00071571">
        <w:rPr>
          <w:rStyle w:val="citation-512"/>
        </w:rPr>
        <w:t>A two-country FR vs GB extension is feasible but out of scope for this version</w:t>
      </w:r>
      <w:r w:rsidRPr="00071571">
        <w:t>.</w:t>
      </w:r>
    </w:p>
    <w:p w14:paraId="099316C7" w14:textId="4913E684" w:rsidR="00EA6B4C" w:rsidRDefault="00000000" w:rsidP="006E6B82">
      <w:r>
        <w:rPr>
          <w:b/>
          <w:color w:val="1B365D"/>
          <w:sz w:val="28"/>
        </w:rPr>
        <w:t>3. Strategic Recommendations &amp; 4-Hour Block Ranking Analysis</w:t>
      </w:r>
    </w:p>
    <w:p w14:paraId="6535B082" w14:textId="756461DD" w:rsidR="00FF5618" w:rsidRDefault="00000000">
      <w:r>
        <w:t>Aggregating hourly data into realistic 4-hour compute windows yields definitive operational dispatch strategies:</w:t>
      </w:r>
    </w:p>
    <w:tbl>
      <w:tblPr>
        <w:tblW w:w="0" w:type="auto"/>
        <w:jc w:val="center"/>
        <w:tblLook w:val="04A0" w:firstRow="1" w:lastRow="0" w:firstColumn="1" w:lastColumn="0" w:noHBand="0" w:noVBand="1"/>
      </w:tblPr>
      <w:tblGrid>
        <w:gridCol w:w="864"/>
        <w:gridCol w:w="1152"/>
        <w:gridCol w:w="1728"/>
        <w:gridCol w:w="3456"/>
        <w:gridCol w:w="2160"/>
      </w:tblGrid>
      <w:tr w:rsidR="00EA6B4C" w14:paraId="1C9B754C" w14:textId="77777777">
        <w:trPr>
          <w:jc w:val="center"/>
        </w:trPr>
        <w:tc>
          <w:tcPr>
            <w:tcW w:w="864" w:type="dxa"/>
            <w:shd w:val="clear" w:color="auto" w:fill="1B365D"/>
            <w:tcMar>
              <w:top w:w="100" w:type="dxa"/>
              <w:left w:w="150" w:type="dxa"/>
              <w:bottom w:w="100" w:type="dxa"/>
              <w:right w:w="150" w:type="dxa"/>
            </w:tcMar>
          </w:tcPr>
          <w:p w14:paraId="4D4BE2CD" w14:textId="77777777" w:rsidR="00EA6B4C" w:rsidRDefault="00000000">
            <w:r>
              <w:rPr>
                <w:b/>
                <w:color w:val="FFFFFF"/>
                <w:sz w:val="20"/>
              </w:rPr>
              <w:t>Rank</w:t>
            </w:r>
          </w:p>
        </w:tc>
        <w:tc>
          <w:tcPr>
            <w:tcW w:w="1152" w:type="dxa"/>
            <w:shd w:val="clear" w:color="auto" w:fill="1B365D"/>
            <w:tcMar>
              <w:top w:w="100" w:type="dxa"/>
              <w:left w:w="150" w:type="dxa"/>
              <w:bottom w:w="100" w:type="dxa"/>
              <w:right w:w="150" w:type="dxa"/>
            </w:tcMar>
          </w:tcPr>
          <w:p w14:paraId="7348AF02" w14:textId="77777777" w:rsidR="00EA6B4C" w:rsidRDefault="00000000">
            <w:r>
              <w:rPr>
                <w:b/>
                <w:color w:val="FFFFFF"/>
                <w:sz w:val="20"/>
              </w:rPr>
              <w:t>Country Code</w:t>
            </w:r>
          </w:p>
        </w:tc>
        <w:tc>
          <w:tcPr>
            <w:tcW w:w="1728" w:type="dxa"/>
            <w:shd w:val="clear" w:color="auto" w:fill="1B365D"/>
            <w:tcMar>
              <w:top w:w="100" w:type="dxa"/>
              <w:left w:w="150" w:type="dxa"/>
              <w:bottom w:w="100" w:type="dxa"/>
              <w:right w:w="150" w:type="dxa"/>
            </w:tcMar>
          </w:tcPr>
          <w:p w14:paraId="466EC614" w14:textId="77777777" w:rsidR="00EA6B4C" w:rsidRDefault="00000000">
            <w:r>
              <w:rPr>
                <w:b/>
                <w:color w:val="FFFFFF"/>
                <w:sz w:val="20"/>
              </w:rPr>
              <w:t>Time Block (UTC)</w:t>
            </w:r>
          </w:p>
        </w:tc>
        <w:tc>
          <w:tcPr>
            <w:tcW w:w="3456" w:type="dxa"/>
            <w:shd w:val="clear" w:color="auto" w:fill="1B365D"/>
            <w:tcMar>
              <w:top w:w="100" w:type="dxa"/>
              <w:left w:w="150" w:type="dxa"/>
              <w:bottom w:w="100" w:type="dxa"/>
              <w:right w:w="150" w:type="dxa"/>
            </w:tcMar>
          </w:tcPr>
          <w:p w14:paraId="22B1CBC1" w14:textId="77777777" w:rsidR="00EA6B4C" w:rsidRDefault="00000000">
            <w:r>
              <w:rPr>
                <w:b/>
                <w:color w:val="FFFFFF"/>
                <w:sz w:val="20"/>
              </w:rPr>
              <w:t>Grid Profile &amp; Operational Character</w:t>
            </w:r>
          </w:p>
        </w:tc>
        <w:tc>
          <w:tcPr>
            <w:tcW w:w="2160" w:type="dxa"/>
            <w:shd w:val="clear" w:color="auto" w:fill="1B365D"/>
            <w:tcMar>
              <w:top w:w="100" w:type="dxa"/>
              <w:left w:w="150" w:type="dxa"/>
              <w:bottom w:w="100" w:type="dxa"/>
              <w:right w:w="150" w:type="dxa"/>
            </w:tcMar>
          </w:tcPr>
          <w:p w14:paraId="19E26077" w14:textId="77777777" w:rsidR="00EA6B4C" w:rsidRDefault="00000000">
            <w:r>
              <w:rPr>
                <w:b/>
                <w:color w:val="FFFFFF"/>
                <w:sz w:val="20"/>
              </w:rPr>
              <w:t>Strategic Action</w:t>
            </w:r>
          </w:p>
        </w:tc>
      </w:tr>
      <w:tr w:rsidR="00EA6B4C" w14:paraId="23BA6BDF" w14:textId="77777777">
        <w:trPr>
          <w:jc w:val="center"/>
        </w:trPr>
        <w:tc>
          <w:tcPr>
            <w:tcW w:w="864" w:type="dxa"/>
            <w:tcMar>
              <w:top w:w="100" w:type="dxa"/>
              <w:left w:w="150" w:type="dxa"/>
              <w:bottom w:w="100" w:type="dxa"/>
              <w:right w:w="150" w:type="dxa"/>
            </w:tcMar>
          </w:tcPr>
          <w:p w14:paraId="12EFA3B4" w14:textId="660583F8" w:rsidR="00EA6B4C" w:rsidRDefault="00E11549">
            <w:r>
              <w:rPr>
                <w:b/>
                <w:sz w:val="19"/>
              </w:rPr>
              <w:t xml:space="preserve">Tier </w:t>
            </w:r>
            <w:r w:rsidR="00000000">
              <w:rPr>
                <w:b/>
                <w:sz w:val="19"/>
              </w:rPr>
              <w:t>1</w:t>
            </w:r>
          </w:p>
        </w:tc>
        <w:tc>
          <w:tcPr>
            <w:tcW w:w="1152" w:type="dxa"/>
            <w:tcMar>
              <w:top w:w="100" w:type="dxa"/>
              <w:left w:w="150" w:type="dxa"/>
              <w:bottom w:w="100" w:type="dxa"/>
              <w:right w:w="150" w:type="dxa"/>
            </w:tcMar>
          </w:tcPr>
          <w:p w14:paraId="0E67E19F" w14:textId="77777777" w:rsidR="00EA6B4C" w:rsidRDefault="00000000">
            <w:r>
              <w:rPr>
                <w:sz w:val="19"/>
              </w:rPr>
              <w:t>FR</w:t>
            </w:r>
          </w:p>
        </w:tc>
        <w:tc>
          <w:tcPr>
            <w:tcW w:w="1728" w:type="dxa"/>
            <w:tcMar>
              <w:top w:w="100" w:type="dxa"/>
              <w:left w:w="150" w:type="dxa"/>
              <w:bottom w:w="100" w:type="dxa"/>
              <w:right w:w="150" w:type="dxa"/>
            </w:tcMar>
          </w:tcPr>
          <w:p w14:paraId="42475133" w14:textId="77777777" w:rsidR="00EA6B4C" w:rsidRDefault="00000000">
            <w:r>
              <w:rPr>
                <w:sz w:val="19"/>
              </w:rPr>
              <w:t>00:00–04:00</w:t>
            </w:r>
          </w:p>
        </w:tc>
        <w:tc>
          <w:tcPr>
            <w:tcW w:w="3456" w:type="dxa"/>
            <w:tcMar>
              <w:top w:w="100" w:type="dxa"/>
              <w:left w:w="150" w:type="dxa"/>
              <w:bottom w:w="100" w:type="dxa"/>
              <w:right w:w="150" w:type="dxa"/>
            </w:tcMar>
          </w:tcPr>
          <w:p w14:paraId="4502F375" w14:textId="38E2E666" w:rsidR="00EA6B4C" w:rsidRDefault="00000000">
            <w:r>
              <w:rPr>
                <w:sz w:val="19"/>
              </w:rPr>
              <w:t>Nuclear Baseload (</w:t>
            </w:r>
            <w:r w:rsidR="00FF5618">
              <w:rPr>
                <w:sz w:val="19"/>
              </w:rPr>
              <w:t>70-80</w:t>
            </w:r>
            <w:r>
              <w:rPr>
                <w:sz w:val="19"/>
              </w:rPr>
              <w:t>% nuclear). Near-zero carbon floor. Flat profile across seasons.</w:t>
            </w:r>
          </w:p>
        </w:tc>
        <w:tc>
          <w:tcPr>
            <w:tcW w:w="2160" w:type="dxa"/>
            <w:tcMar>
              <w:top w:w="100" w:type="dxa"/>
              <w:left w:w="150" w:type="dxa"/>
              <w:bottom w:w="100" w:type="dxa"/>
              <w:right w:w="150" w:type="dxa"/>
            </w:tcMar>
          </w:tcPr>
          <w:p w14:paraId="1D42B8DB" w14:textId="77777777" w:rsidR="00EA6B4C" w:rsidRDefault="00000000">
            <w:r>
              <w:rPr>
                <w:sz w:val="19"/>
              </w:rPr>
              <w:t>Primary Anchor: Schedule highest-intensity batch training here.</w:t>
            </w:r>
          </w:p>
        </w:tc>
      </w:tr>
      <w:tr w:rsidR="00EA6B4C" w14:paraId="48570CB5" w14:textId="77777777">
        <w:trPr>
          <w:jc w:val="center"/>
        </w:trPr>
        <w:tc>
          <w:tcPr>
            <w:tcW w:w="864" w:type="dxa"/>
            <w:shd w:val="clear" w:color="auto" w:fill="F7F9FA"/>
            <w:tcMar>
              <w:top w:w="100" w:type="dxa"/>
              <w:left w:w="150" w:type="dxa"/>
              <w:bottom w:w="100" w:type="dxa"/>
              <w:right w:w="150" w:type="dxa"/>
            </w:tcMar>
          </w:tcPr>
          <w:p w14:paraId="41C91A56" w14:textId="3173A8AB" w:rsidR="00EA6B4C" w:rsidRDefault="00E11549">
            <w:r>
              <w:rPr>
                <w:b/>
                <w:sz w:val="19"/>
              </w:rPr>
              <w:t xml:space="preserve">Tier </w:t>
            </w:r>
            <w:r w:rsidR="00000000">
              <w:rPr>
                <w:b/>
                <w:sz w:val="19"/>
              </w:rPr>
              <w:t>2</w:t>
            </w:r>
          </w:p>
        </w:tc>
        <w:tc>
          <w:tcPr>
            <w:tcW w:w="1152" w:type="dxa"/>
            <w:shd w:val="clear" w:color="auto" w:fill="F7F9FA"/>
            <w:tcMar>
              <w:top w:w="100" w:type="dxa"/>
              <w:left w:w="150" w:type="dxa"/>
              <w:bottom w:w="100" w:type="dxa"/>
              <w:right w:w="150" w:type="dxa"/>
            </w:tcMar>
          </w:tcPr>
          <w:p w14:paraId="5B04244A" w14:textId="77777777" w:rsidR="00EA6B4C" w:rsidRDefault="00000000">
            <w:r>
              <w:rPr>
                <w:sz w:val="19"/>
              </w:rPr>
              <w:t>ES</w:t>
            </w:r>
          </w:p>
        </w:tc>
        <w:tc>
          <w:tcPr>
            <w:tcW w:w="1728" w:type="dxa"/>
            <w:shd w:val="clear" w:color="auto" w:fill="F7F9FA"/>
            <w:tcMar>
              <w:top w:w="100" w:type="dxa"/>
              <w:left w:w="150" w:type="dxa"/>
              <w:bottom w:w="100" w:type="dxa"/>
              <w:right w:w="150" w:type="dxa"/>
            </w:tcMar>
          </w:tcPr>
          <w:p w14:paraId="48F11CEC" w14:textId="77777777" w:rsidR="00EA6B4C" w:rsidRDefault="00000000">
            <w:r>
              <w:rPr>
                <w:sz w:val="19"/>
              </w:rPr>
              <w:t>10:00–14:00</w:t>
            </w:r>
          </w:p>
        </w:tc>
        <w:tc>
          <w:tcPr>
            <w:tcW w:w="3456" w:type="dxa"/>
            <w:shd w:val="clear" w:color="auto" w:fill="F7F9FA"/>
            <w:tcMar>
              <w:top w:w="100" w:type="dxa"/>
              <w:left w:w="150" w:type="dxa"/>
              <w:bottom w:w="100" w:type="dxa"/>
              <w:right w:w="150" w:type="dxa"/>
            </w:tcMar>
          </w:tcPr>
          <w:p w14:paraId="64EF751B" w14:textId="679C278E" w:rsidR="00EA6B4C" w:rsidRDefault="00000000">
            <w:r>
              <w:rPr>
                <w:sz w:val="19"/>
              </w:rPr>
              <w:t>Solar-Dominant. Strong intraday "solar trough" in Q2/Q3</w:t>
            </w:r>
            <w:r w:rsidR="00FF5618">
              <w:rPr>
                <w:sz w:val="19"/>
              </w:rPr>
              <w:t>.</w:t>
            </w:r>
          </w:p>
        </w:tc>
        <w:tc>
          <w:tcPr>
            <w:tcW w:w="2160" w:type="dxa"/>
            <w:shd w:val="clear" w:color="auto" w:fill="F7F9FA"/>
            <w:tcMar>
              <w:top w:w="100" w:type="dxa"/>
              <w:left w:w="150" w:type="dxa"/>
              <w:bottom w:w="100" w:type="dxa"/>
              <w:right w:w="150" w:type="dxa"/>
            </w:tcMar>
          </w:tcPr>
          <w:p w14:paraId="516C71D0" w14:textId="77777777" w:rsidR="00EA6B4C" w:rsidRDefault="00000000">
            <w:r>
              <w:rPr>
                <w:sz w:val="19"/>
              </w:rPr>
              <w:t>Tactical Shifting: Utilize during peak summer daylight hours.</w:t>
            </w:r>
          </w:p>
        </w:tc>
      </w:tr>
      <w:tr w:rsidR="00EA6B4C" w14:paraId="14A17892" w14:textId="77777777">
        <w:trPr>
          <w:jc w:val="center"/>
        </w:trPr>
        <w:tc>
          <w:tcPr>
            <w:tcW w:w="864" w:type="dxa"/>
            <w:tcMar>
              <w:top w:w="100" w:type="dxa"/>
              <w:left w:w="150" w:type="dxa"/>
              <w:bottom w:w="100" w:type="dxa"/>
              <w:right w:w="150" w:type="dxa"/>
            </w:tcMar>
          </w:tcPr>
          <w:p w14:paraId="4E8F54EB" w14:textId="27077EB5" w:rsidR="00EA6B4C" w:rsidRDefault="00E11549">
            <w:r>
              <w:rPr>
                <w:b/>
                <w:sz w:val="19"/>
              </w:rPr>
              <w:t xml:space="preserve">Tier </w:t>
            </w:r>
            <w:r w:rsidR="00000000">
              <w:rPr>
                <w:b/>
                <w:sz w:val="19"/>
              </w:rPr>
              <w:t>3</w:t>
            </w:r>
          </w:p>
        </w:tc>
        <w:tc>
          <w:tcPr>
            <w:tcW w:w="1152" w:type="dxa"/>
            <w:tcMar>
              <w:top w:w="100" w:type="dxa"/>
              <w:left w:w="150" w:type="dxa"/>
              <w:bottom w:w="100" w:type="dxa"/>
              <w:right w:w="150" w:type="dxa"/>
            </w:tcMar>
          </w:tcPr>
          <w:p w14:paraId="6BB99B0D" w14:textId="77777777" w:rsidR="00EA6B4C" w:rsidRDefault="00000000">
            <w:r>
              <w:rPr>
                <w:sz w:val="19"/>
              </w:rPr>
              <w:t>DE</w:t>
            </w:r>
          </w:p>
        </w:tc>
        <w:tc>
          <w:tcPr>
            <w:tcW w:w="1728" w:type="dxa"/>
            <w:tcMar>
              <w:top w:w="100" w:type="dxa"/>
              <w:left w:w="150" w:type="dxa"/>
              <w:bottom w:w="100" w:type="dxa"/>
              <w:right w:w="150" w:type="dxa"/>
            </w:tcMar>
          </w:tcPr>
          <w:p w14:paraId="4A7E4034" w14:textId="77777777" w:rsidR="00EA6B4C" w:rsidRDefault="00000000">
            <w:r>
              <w:rPr>
                <w:sz w:val="19"/>
              </w:rPr>
              <w:t>16:00–20:00</w:t>
            </w:r>
          </w:p>
        </w:tc>
        <w:tc>
          <w:tcPr>
            <w:tcW w:w="3456" w:type="dxa"/>
            <w:tcMar>
              <w:top w:w="100" w:type="dxa"/>
              <w:left w:w="150" w:type="dxa"/>
              <w:bottom w:w="100" w:type="dxa"/>
              <w:right w:w="150" w:type="dxa"/>
            </w:tcMar>
          </w:tcPr>
          <w:p w14:paraId="6871D5BE" w14:textId="77777777" w:rsidR="00EA6B4C" w:rsidRDefault="00000000">
            <w:r>
              <w:rPr>
                <w:sz w:val="19"/>
              </w:rPr>
              <w:t>Wind-Heavy but Intermittent. Supported by heavy coal/gas backup during evening demand peaks.</w:t>
            </w:r>
          </w:p>
        </w:tc>
        <w:tc>
          <w:tcPr>
            <w:tcW w:w="2160" w:type="dxa"/>
            <w:tcMar>
              <w:top w:w="100" w:type="dxa"/>
              <w:left w:w="150" w:type="dxa"/>
              <w:bottom w:w="100" w:type="dxa"/>
              <w:right w:w="150" w:type="dxa"/>
            </w:tcMar>
          </w:tcPr>
          <w:p w14:paraId="7221C578" w14:textId="7CBDCA8B" w:rsidR="00EA6B4C" w:rsidRDefault="00000000">
            <w:r>
              <w:rPr>
                <w:sz w:val="19"/>
              </w:rPr>
              <w:t>Avoidance Block: High risk of carbon spikes;</w:t>
            </w:r>
            <w:r w:rsidR="00FF5618">
              <w:rPr>
                <w:sz w:val="19"/>
              </w:rPr>
              <w:t xml:space="preserve"> high value-adds for introducing forecasting systems.</w:t>
            </w:r>
          </w:p>
        </w:tc>
      </w:tr>
      <w:tr w:rsidR="00EA6B4C" w14:paraId="207F3860" w14:textId="77777777">
        <w:trPr>
          <w:jc w:val="center"/>
        </w:trPr>
        <w:tc>
          <w:tcPr>
            <w:tcW w:w="864" w:type="dxa"/>
            <w:shd w:val="clear" w:color="auto" w:fill="F7F9FA"/>
            <w:tcMar>
              <w:top w:w="100" w:type="dxa"/>
              <w:left w:w="150" w:type="dxa"/>
              <w:bottom w:w="100" w:type="dxa"/>
              <w:right w:w="150" w:type="dxa"/>
            </w:tcMar>
          </w:tcPr>
          <w:p w14:paraId="119B22C7" w14:textId="4DD2C7E2" w:rsidR="00EA6B4C" w:rsidRDefault="00E11549">
            <w:r>
              <w:rPr>
                <w:b/>
                <w:sz w:val="19"/>
              </w:rPr>
              <w:t xml:space="preserve">Tier </w:t>
            </w:r>
            <w:r w:rsidR="00000000">
              <w:rPr>
                <w:b/>
                <w:sz w:val="19"/>
              </w:rPr>
              <w:t>4</w:t>
            </w:r>
          </w:p>
        </w:tc>
        <w:tc>
          <w:tcPr>
            <w:tcW w:w="1152" w:type="dxa"/>
            <w:shd w:val="clear" w:color="auto" w:fill="F7F9FA"/>
            <w:tcMar>
              <w:top w:w="100" w:type="dxa"/>
              <w:left w:w="150" w:type="dxa"/>
              <w:bottom w:w="100" w:type="dxa"/>
              <w:right w:w="150" w:type="dxa"/>
            </w:tcMar>
          </w:tcPr>
          <w:p w14:paraId="0791E671" w14:textId="77777777" w:rsidR="00EA6B4C" w:rsidRDefault="00000000">
            <w:r>
              <w:rPr>
                <w:sz w:val="19"/>
              </w:rPr>
              <w:t>IT</w:t>
            </w:r>
          </w:p>
        </w:tc>
        <w:tc>
          <w:tcPr>
            <w:tcW w:w="1728" w:type="dxa"/>
            <w:shd w:val="clear" w:color="auto" w:fill="F7F9FA"/>
            <w:tcMar>
              <w:top w:w="100" w:type="dxa"/>
              <w:left w:w="150" w:type="dxa"/>
              <w:bottom w:w="100" w:type="dxa"/>
              <w:right w:w="150" w:type="dxa"/>
            </w:tcMar>
          </w:tcPr>
          <w:p w14:paraId="03422EBB" w14:textId="77777777" w:rsidR="00EA6B4C" w:rsidRDefault="00000000">
            <w:r>
              <w:rPr>
                <w:sz w:val="19"/>
              </w:rPr>
              <w:t>20:00–24:00</w:t>
            </w:r>
          </w:p>
        </w:tc>
        <w:tc>
          <w:tcPr>
            <w:tcW w:w="3456" w:type="dxa"/>
            <w:shd w:val="clear" w:color="auto" w:fill="F7F9FA"/>
            <w:tcMar>
              <w:top w:w="100" w:type="dxa"/>
              <w:left w:w="150" w:type="dxa"/>
              <w:bottom w:w="100" w:type="dxa"/>
              <w:right w:w="150" w:type="dxa"/>
            </w:tcMar>
          </w:tcPr>
          <w:p w14:paraId="1D077FD2" w14:textId="77777777" w:rsidR="00EA6B4C" w:rsidRDefault="00000000">
            <w:r>
              <w:rPr>
                <w:sz w:val="19"/>
              </w:rPr>
              <w:t>Gas-Dependent. Highest baseline emissions with pronounced evening gas-peaker spikes.</w:t>
            </w:r>
          </w:p>
        </w:tc>
        <w:tc>
          <w:tcPr>
            <w:tcW w:w="2160" w:type="dxa"/>
            <w:shd w:val="clear" w:color="auto" w:fill="F7F9FA"/>
            <w:tcMar>
              <w:top w:w="100" w:type="dxa"/>
              <w:left w:w="150" w:type="dxa"/>
              <w:bottom w:w="100" w:type="dxa"/>
              <w:right w:w="150" w:type="dxa"/>
            </w:tcMar>
          </w:tcPr>
          <w:p w14:paraId="43BF647F" w14:textId="77777777" w:rsidR="00EA6B4C" w:rsidRDefault="00000000">
            <w:r>
              <w:rPr>
                <w:sz w:val="19"/>
              </w:rPr>
              <w:t>Critical Avoidance: Strict block to minimize Scope 2 exposure.</w:t>
            </w:r>
          </w:p>
        </w:tc>
      </w:tr>
    </w:tbl>
    <w:p w14:paraId="70E0F2F4" w14:textId="77777777" w:rsidR="00510A9A" w:rsidRDefault="00510A9A">
      <w:pPr>
        <w:spacing w:before="160"/>
      </w:pPr>
    </w:p>
    <w:p w14:paraId="34E2BCAA" w14:textId="77777777" w:rsidR="00EA6B4C" w:rsidRDefault="00000000">
      <w:pPr>
        <w:pStyle w:val="ListBullet"/>
        <w:spacing w:after="80"/>
      </w:pPr>
      <w:r>
        <w:rPr>
          <w:b/>
        </w:rPr>
        <w:t xml:space="preserve">The France Baseload Bench: </w:t>
      </w:r>
      <w:r>
        <w:t>France provides the absolute carbon floor due to its stable nuclear infrastructure. Seasonal variations are minimal, making it the default baseline for flexible operations.</w:t>
      </w:r>
    </w:p>
    <w:p w14:paraId="796C9FF8" w14:textId="77777777" w:rsidR="00EA6B4C" w:rsidRDefault="00000000">
      <w:pPr>
        <w:pStyle w:val="ListBullet"/>
        <w:spacing w:after="80"/>
      </w:pPr>
      <w:r>
        <w:rPr>
          <w:b/>
        </w:rPr>
        <w:t xml:space="preserve">The Spain Solar Trough: </w:t>
      </w:r>
      <w:r>
        <w:t>Spain exhibits a classic intraday duck curve. During Q2 and Q3 midday blocks, its carbon intensity plummets, making it a highly competitive spatial alternative to France.</w:t>
      </w:r>
    </w:p>
    <w:p w14:paraId="6DD96EBF" w14:textId="4824C5ED" w:rsidR="00E329A5" w:rsidRDefault="00000000" w:rsidP="00E329A5">
      <w:pPr>
        <w:pStyle w:val="ListBullet"/>
        <w:spacing w:after="80"/>
      </w:pPr>
      <w:r>
        <w:rPr>
          <w:b/>
        </w:rPr>
        <w:t xml:space="preserve">The Germany/Italy Risk Profiles: </w:t>
      </w:r>
      <w:r>
        <w:t xml:space="preserve">Germany possesses massive wind capacity but displays severe swings (300+ gCO2/kWh delta) when wind drops and fossil backups engage. Italy </w:t>
      </w:r>
      <w:r>
        <w:lastRenderedPageBreak/>
        <w:t xml:space="preserve">represents the highest emissions baseline due to its structural reliance on natural gas </w:t>
      </w:r>
      <w:proofErr w:type="spellStart"/>
      <w:r>
        <w:t>peakers</w:t>
      </w:r>
      <w:proofErr w:type="spellEnd"/>
      <w:r>
        <w:t>.</w:t>
      </w:r>
    </w:p>
    <w:p w14:paraId="6CC771C0" w14:textId="335CD98D" w:rsidR="00E329A5" w:rsidRDefault="00510A9A" w:rsidP="00E329A5">
      <w:pPr>
        <w:pStyle w:val="ListBullet"/>
        <w:numPr>
          <w:ilvl w:val="0"/>
          <w:numId w:val="0"/>
        </w:numPr>
        <w:spacing w:after="80"/>
        <w:rPr>
          <w:b/>
        </w:rPr>
      </w:pPr>
      <w:r>
        <w:rPr>
          <w:noProof/>
          <w:lang w:eastAsia="zh-TW"/>
        </w:rPr>
        <w:drawing>
          <wp:inline distT="0" distB="0" distL="0" distR="0" wp14:anchorId="0C12BCBC" wp14:editId="5F62E5F4">
            <wp:extent cx="5943600" cy="2350135"/>
            <wp:effectExtent l="0" t="0" r="0" b="0"/>
            <wp:docPr id="1847059960" name="Picture 1" descr="A graph with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059960" name="Picture 1" descr="A graph with different colored bars&#10;&#10;AI-generated content may be incorrect."/>
                    <pic:cNvPicPr/>
                  </pic:nvPicPr>
                  <pic:blipFill>
                    <a:blip r:embed="rId6"/>
                    <a:stretch>
                      <a:fillRect/>
                    </a:stretch>
                  </pic:blipFill>
                  <pic:spPr>
                    <a:xfrm>
                      <a:off x="0" y="0"/>
                      <a:ext cx="5943600" cy="2350135"/>
                    </a:xfrm>
                    <a:prstGeom prst="rect">
                      <a:avLst/>
                    </a:prstGeom>
                  </pic:spPr>
                </pic:pic>
              </a:graphicData>
            </a:graphic>
          </wp:inline>
        </w:drawing>
      </w:r>
    </w:p>
    <w:p w14:paraId="0360BD10" w14:textId="77777777" w:rsidR="002F6618" w:rsidRDefault="002F6618" w:rsidP="00E329A5">
      <w:pPr>
        <w:pStyle w:val="ListBullet"/>
        <w:numPr>
          <w:ilvl w:val="0"/>
          <w:numId w:val="0"/>
        </w:numPr>
        <w:spacing w:after="80"/>
        <w:rPr>
          <w:b/>
        </w:rPr>
      </w:pPr>
    </w:p>
    <w:p w14:paraId="66B8AC15" w14:textId="051FD427" w:rsidR="002F6618" w:rsidRDefault="002F6618" w:rsidP="00E329A5">
      <w:pPr>
        <w:pStyle w:val="ListBullet"/>
        <w:numPr>
          <w:ilvl w:val="0"/>
          <w:numId w:val="0"/>
        </w:numPr>
        <w:spacing w:after="80"/>
        <w:rPr>
          <w:b/>
        </w:rPr>
      </w:pPr>
      <w:r>
        <w:rPr>
          <w:noProof/>
        </w:rPr>
        <w:drawing>
          <wp:inline distT="0" distB="0" distL="0" distR="0" wp14:anchorId="311A9663" wp14:editId="640832F9">
            <wp:extent cx="4974021" cy="1334908"/>
            <wp:effectExtent l="0" t="0" r="4445" b="0"/>
            <wp:docPr id="905145575" name="Picture 3" descr="A diagram of heat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145575" name="Picture 3" descr="A diagram of heatmap&#10;&#10;AI-generated content may be incorrect."/>
                    <pic:cNvPicPr/>
                  </pic:nvPicPr>
                  <pic:blipFill>
                    <a:blip r:embed="rId7"/>
                    <a:stretch>
                      <a:fillRect/>
                    </a:stretch>
                  </pic:blipFill>
                  <pic:spPr>
                    <a:xfrm>
                      <a:off x="0" y="0"/>
                      <a:ext cx="5081124" cy="1363652"/>
                    </a:xfrm>
                    <a:prstGeom prst="rect">
                      <a:avLst/>
                    </a:prstGeom>
                  </pic:spPr>
                </pic:pic>
              </a:graphicData>
            </a:graphic>
          </wp:inline>
        </w:drawing>
      </w:r>
    </w:p>
    <w:p w14:paraId="44930B79" w14:textId="68B0B6A0" w:rsidR="00510A9A" w:rsidRDefault="00510A9A" w:rsidP="00E329A5">
      <w:pPr>
        <w:pStyle w:val="ListBullet"/>
        <w:numPr>
          <w:ilvl w:val="0"/>
          <w:numId w:val="0"/>
        </w:numPr>
        <w:spacing w:after="80"/>
        <w:rPr>
          <w:b/>
        </w:rPr>
      </w:pPr>
      <w:r>
        <w:rPr>
          <w:b/>
          <w:noProof/>
        </w:rPr>
        <w:lastRenderedPageBreak/>
        <w:drawing>
          <wp:inline distT="0" distB="0" distL="0" distR="0" wp14:anchorId="3B5E4906" wp14:editId="0EFE09E2">
            <wp:extent cx="3988676" cy="4582715"/>
            <wp:effectExtent l="0" t="0" r="0" b="2540"/>
            <wp:docPr id="1511563202" name="Picture 2"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563202" name="Picture 2" descr="A screenshot of a graph&#10;&#10;AI-generated content may be incorrect."/>
                    <pic:cNvPicPr/>
                  </pic:nvPicPr>
                  <pic:blipFill>
                    <a:blip r:embed="rId8"/>
                    <a:stretch>
                      <a:fillRect/>
                    </a:stretch>
                  </pic:blipFill>
                  <pic:spPr>
                    <a:xfrm>
                      <a:off x="0" y="0"/>
                      <a:ext cx="4061990" cy="4666948"/>
                    </a:xfrm>
                    <a:prstGeom prst="rect">
                      <a:avLst/>
                    </a:prstGeom>
                  </pic:spPr>
                </pic:pic>
              </a:graphicData>
            </a:graphic>
          </wp:inline>
        </w:drawing>
      </w:r>
      <w:r w:rsidRPr="00510A9A">
        <w:rPr>
          <w:noProof/>
        </w:rPr>
        <w:t xml:space="preserve"> </w:t>
      </w:r>
    </w:p>
    <w:p w14:paraId="1578E289" w14:textId="3686CF32" w:rsidR="00EA6B4C" w:rsidRPr="00E329A5" w:rsidRDefault="00000000" w:rsidP="00E329A5">
      <w:pPr>
        <w:pStyle w:val="ListBullet"/>
        <w:numPr>
          <w:ilvl w:val="0"/>
          <w:numId w:val="0"/>
        </w:numPr>
        <w:spacing w:after="80"/>
        <w:rPr>
          <w:b/>
          <w:bCs/>
        </w:rPr>
      </w:pPr>
      <w:r w:rsidRPr="00E329A5">
        <w:rPr>
          <w:b/>
          <w:bCs/>
          <w:color w:val="1B365D"/>
          <w:sz w:val="28"/>
        </w:rPr>
        <w:t>4. Honest Limitations &amp; Boundary Conditions</w:t>
      </w:r>
    </w:p>
    <w:p w14:paraId="6791AEE1" w14:textId="12E8E948" w:rsidR="00E329A5" w:rsidRDefault="00000000">
      <w:pPr>
        <w:spacing w:after="80"/>
        <w:ind w:left="360"/>
        <w:rPr>
          <w:b/>
        </w:rPr>
      </w:pPr>
      <w:r>
        <w:rPr>
          <w:b/>
        </w:rPr>
        <w:t xml:space="preserve">1. </w:t>
      </w:r>
      <w:r w:rsidR="00E329A5">
        <w:rPr>
          <w:b/>
        </w:rPr>
        <w:t xml:space="preserve">Maximum Theoretical Alpha vs. Operational Realities: </w:t>
      </w:r>
      <w:r w:rsidR="00E329A5">
        <w:t xml:space="preserve">The current optimization framework evaluates historical country-block extremes (e.g., France 00-04 vs. Italy 20-24) to establish a “Maximum Theoretical Alpha” and quantify the aggregate size of the optimization prize. </w:t>
      </w:r>
      <w:proofErr w:type="gramStart"/>
      <w:r w:rsidR="00E329A5">
        <w:t>In reality, data</w:t>
      </w:r>
      <w:proofErr w:type="gramEnd"/>
      <w:r w:rsidR="00E329A5">
        <w:t xml:space="preserve"> centers are bound by operational constraints such as minimum uptime guarantees, base-load constraints, and service level agreements (SLAs). It is a directional probability guide rather than a deterministic real-time execution model.</w:t>
      </w:r>
    </w:p>
    <w:p w14:paraId="1D43C859" w14:textId="1DDB3AC5" w:rsidR="00EA6B4C" w:rsidRDefault="00E329A5">
      <w:pPr>
        <w:spacing w:after="80"/>
        <w:ind w:left="360"/>
      </w:pPr>
      <w:r>
        <w:rPr>
          <w:b/>
        </w:rPr>
        <w:t xml:space="preserve">2. Historical Medians vs. Real-Time Execution: </w:t>
      </w:r>
      <w:r>
        <w:t>The ranking framework relies on historical medians to map long-term structural grid profiles and seasonal patterns. While highly descriptive for corporate strategic planning, historical medians cannot predict or respond to real-time grid volatility, sudden localized weather drops affecting wind/solar yields, or unexpected grid congestion events.</w:t>
      </w:r>
    </w:p>
    <w:p w14:paraId="4C69B062" w14:textId="45976D70" w:rsidR="00EA6B4C" w:rsidRDefault="00E329A5">
      <w:pPr>
        <w:spacing w:after="80"/>
        <w:ind w:left="360"/>
      </w:pPr>
      <w:r>
        <w:rPr>
          <w:b/>
        </w:rPr>
        <w:t xml:space="preserve">3.. Omission of Physical Network and Regulatory Constraints: </w:t>
      </w:r>
      <w:r>
        <w:t>The framework assumes perfect workload mobility and omits physical network latency, cross-border interconnector caps, and data residency regulatory frameworks (such as GDPR).</w:t>
      </w:r>
    </w:p>
    <w:p w14:paraId="0DA08655" w14:textId="37F86D18" w:rsidR="00EA6B4C" w:rsidRDefault="00E329A5">
      <w:pPr>
        <w:spacing w:after="80"/>
        <w:ind w:left="360"/>
      </w:pPr>
      <w:r>
        <w:rPr>
          <w:b/>
        </w:rPr>
        <w:lastRenderedPageBreak/>
        <w:t xml:space="preserve">4. IPCC Lifecycle vs. Marginal Emission Factors: </w:t>
      </w:r>
      <w:r>
        <w:t>This framework utilizes IPCC lifecycle emission factors (accounting for supply chains), which are ideal for Scope 2 carbon accounting. However, they do not reflect marginal emission factors (the carbon cost of the next incremental unit of grid load triggered by an active data center). While marginal modeling is more behaviorally precise for dispatching, lifecycle factors provide the foundational tracking layer required by modern ESG rating methodologies.</w:t>
      </w:r>
    </w:p>
    <w:p w14:paraId="724E694A" w14:textId="340A450C" w:rsidR="00E11549" w:rsidRDefault="00E329A5">
      <w:pPr>
        <w:spacing w:after="80"/>
        <w:ind w:left="360"/>
      </w:pPr>
      <w:r>
        <w:rPr>
          <w:b/>
        </w:rPr>
        <w:t xml:space="preserve">5. Methodological Variance (Generation vs. Consumption): </w:t>
      </w:r>
      <w:r>
        <w:t>Emission calculations are generation-based to ensure data consistency</w:t>
      </w:r>
      <w:r>
        <w:rPr>
          <w:lang w:eastAsia="zh-TW"/>
        </w:rPr>
        <w:t xml:space="preserve"> across ENTSO-E nodes</w:t>
      </w:r>
      <w:r>
        <w:t>. However, data validation reveals a consistently positive Mean Absolute Error (MAE) for heavy net-importing grids like Italy during specific seasonal blocks</w:t>
      </w:r>
      <w:r w:rsidR="00E11549">
        <w:t xml:space="preserve"> </w:t>
      </w:r>
      <w:r>
        <w:t>by up to 175 gCO2/kWh</w:t>
      </w:r>
      <w:r w:rsidR="00E11549">
        <w:t xml:space="preserve"> (a ~46% variance against a 380gCO2/kWh baseline)</w:t>
      </w:r>
      <w:r>
        <w:t>.</w:t>
      </w:r>
      <w:r w:rsidR="00E11549">
        <w:t xml:space="preserve"> This positive error stems from omitting cross-border alpine transits. </w:t>
      </w:r>
      <w:proofErr w:type="gramStart"/>
      <w:r w:rsidR="00E11549">
        <w:t>In reality, low-carbon</w:t>
      </w:r>
      <w:proofErr w:type="gramEnd"/>
      <w:r w:rsidR="00E11549">
        <w:t xml:space="preserve"> French nuclear and Alpine hydro physically blend into the Italian grid, diluting local natural gas </w:t>
      </w:r>
      <w:proofErr w:type="spellStart"/>
      <w:r w:rsidR="00E11549">
        <w:t>peaker</w:t>
      </w:r>
      <w:proofErr w:type="spellEnd"/>
      <w:r w:rsidR="00E11549">
        <w:t xml:space="preserve"> intensity. Consequently, while Italy’s “Critical Avoidance” status remains directionally accurate, related absolute carbon-saving figures represent upper bounds.</w:t>
      </w:r>
    </w:p>
    <w:p w14:paraId="624E1F7A" w14:textId="0907AA9D" w:rsidR="00EA6B4C" w:rsidRDefault="00EA6B4C">
      <w:pPr>
        <w:spacing w:after="80"/>
        <w:ind w:left="360"/>
        <w:rPr>
          <w:lang w:eastAsia="zh-TW"/>
        </w:rPr>
      </w:pPr>
    </w:p>
    <w:sectPr w:rsidR="00EA6B4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0000000000000000000"/>
    <w:charset w:val="00"/>
    <w:family w:val="modern"/>
    <w:pitch w:val="fixed"/>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60158FF"/>
    <w:multiLevelType w:val="multilevel"/>
    <w:tmpl w:val="37D08D84"/>
    <w:lvl w:ilvl="0">
      <w:start w:val="1"/>
      <w:numFmt w:val="decimal"/>
      <w:lvlText w:val="%1."/>
      <w:lvlJc w:val="left"/>
      <w:pPr>
        <w:ind w:left="360" w:hanging="360"/>
      </w:pPr>
      <w:rPr>
        <w:rFonts w:ascii="Arial" w:eastAsiaTheme="minorEastAsia" w:hAnsi="Arial" w:cstheme="minorBidi" w:hint="default"/>
        <w:color w:val="2B2B2B"/>
        <w:sz w:val="22"/>
      </w:rPr>
    </w:lvl>
    <w:lvl w:ilvl="1">
      <w:start w:val="3"/>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0" w15:restartNumberingAfterBreak="0">
    <w:nsid w:val="60B83C82"/>
    <w:multiLevelType w:val="hybridMultilevel"/>
    <w:tmpl w:val="F7AC0FEC"/>
    <w:lvl w:ilvl="0" w:tplc="D2C8B87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1114011005">
    <w:abstractNumId w:val="8"/>
  </w:num>
  <w:num w:numId="2" w16cid:durableId="1359818292">
    <w:abstractNumId w:val="6"/>
  </w:num>
  <w:num w:numId="3" w16cid:durableId="499199946">
    <w:abstractNumId w:val="5"/>
  </w:num>
  <w:num w:numId="4" w16cid:durableId="459614308">
    <w:abstractNumId w:val="4"/>
  </w:num>
  <w:num w:numId="5" w16cid:durableId="1731339311">
    <w:abstractNumId w:val="7"/>
  </w:num>
  <w:num w:numId="6" w16cid:durableId="1864439461">
    <w:abstractNumId w:val="3"/>
  </w:num>
  <w:num w:numId="7" w16cid:durableId="1678846631">
    <w:abstractNumId w:val="2"/>
  </w:num>
  <w:num w:numId="8" w16cid:durableId="2005009420">
    <w:abstractNumId w:val="1"/>
  </w:num>
  <w:num w:numId="9" w16cid:durableId="1363746629">
    <w:abstractNumId w:val="0"/>
  </w:num>
  <w:num w:numId="10" w16cid:durableId="229775830">
    <w:abstractNumId w:val="10"/>
  </w:num>
  <w:num w:numId="11" w16cid:durableId="131363299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1571"/>
    <w:rsid w:val="0015074B"/>
    <w:rsid w:val="001B59C9"/>
    <w:rsid w:val="002120C8"/>
    <w:rsid w:val="0029639D"/>
    <w:rsid w:val="002F6618"/>
    <w:rsid w:val="00326F90"/>
    <w:rsid w:val="00390801"/>
    <w:rsid w:val="00510A9A"/>
    <w:rsid w:val="005812C8"/>
    <w:rsid w:val="006E6B82"/>
    <w:rsid w:val="009C3D53"/>
    <w:rsid w:val="00AA1D8D"/>
    <w:rsid w:val="00AE61E2"/>
    <w:rsid w:val="00B47730"/>
    <w:rsid w:val="00CB0664"/>
    <w:rsid w:val="00E11549"/>
    <w:rsid w:val="00E329A5"/>
    <w:rsid w:val="00EA6B4C"/>
    <w:rsid w:val="00FC693F"/>
    <w:rsid w:val="00FF561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9E5287"/>
  <w14:defaultImageDpi w14:val="300"/>
  <w15:docId w15:val="{E50C5EA2-7D6F-D048-B9EE-651836607D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00" w:lineRule="auto"/>
    </w:pPr>
    <w:rPr>
      <w:rFonts w:ascii="Arial" w:hAnsi="Arial"/>
      <w:color w:val="2B2B2B"/>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itation-514">
    <w:name w:val="citation-514"/>
    <w:basedOn w:val="DefaultParagraphFont"/>
    <w:rsid w:val="00071571"/>
  </w:style>
  <w:style w:type="character" w:customStyle="1" w:styleId="citation-513">
    <w:name w:val="citation-513"/>
    <w:basedOn w:val="DefaultParagraphFont"/>
    <w:rsid w:val="00071571"/>
  </w:style>
  <w:style w:type="character" w:customStyle="1" w:styleId="citation-512">
    <w:name w:val="citation-512"/>
    <w:basedOn w:val="DefaultParagraphFont"/>
    <w:rsid w:val="000715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6</Pages>
  <Words>1317</Words>
  <Characters>7510</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8810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yenweichun.work@gmail.com</cp:lastModifiedBy>
  <cp:revision>14</cp:revision>
  <dcterms:created xsi:type="dcterms:W3CDTF">2013-12-23T23:15:00Z</dcterms:created>
  <dcterms:modified xsi:type="dcterms:W3CDTF">2026-06-24T10:43:00Z</dcterms:modified>
  <cp:category/>
</cp:coreProperties>
</file>