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Calibri"/>
          <w:b/>
          <w:color w:val="0B2545"/>
          <w:sz w:val="46"/>
        </w:rPr>
        <w:t>模型方法与显著因子筛选说明</w:t>
      </w:r>
    </w:p>
    <w:p>
      <w:pPr>
        <w:spacing w:after="280"/>
      </w:pPr>
      <w:r>
        <w:rPr>
          <w:rFonts w:ascii="Calibri" w:hAnsi="Calibri" w:eastAsia="Calibri"/>
          <w:color w:val="555555"/>
          <w:sz w:val="25"/>
        </w:rPr>
        <w:t>国内原材料价格预测平台 | 面向 GDS 相关人员、AI 数字化专家及业务分析人员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>文档用途：</w:t>
      </w:r>
      <w:r>
        <w:rPr>
          <w:rFonts w:ascii="Calibri" w:hAnsi="Calibri" w:eastAsia="Calibri"/>
          <w:color w:val="555555"/>
          <w:sz w:val="21"/>
        </w:rPr>
        <w:t>解释当前平台的预测模型、月度因子模型及显著因子筛选逻辑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>当前主线：</w:t>
      </w:r>
      <w:r>
        <w:rPr>
          <w:rFonts w:ascii="Calibri" w:hAnsi="Calibri" w:eastAsia="Calibri"/>
          <w:color w:val="555555"/>
          <w:sz w:val="21"/>
        </w:rPr>
        <w:t>日度多模型组合 + 月度变量锚定 + 历史回测自适应选择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>因子分析：</w:t>
      </w:r>
      <w:r>
        <w:rPr>
          <w:rFonts w:ascii="Calibri" w:hAnsi="Calibri" w:eastAsia="Calibri"/>
          <w:color w:val="555555"/>
          <w:sz w:val="21"/>
        </w:rPr>
        <w:t>当前网页读取 v1 预计算结果；v2 为增强型分析分支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>版本日期：</w:t>
      </w:r>
      <w:r>
        <w:rPr>
          <w:rFonts w:ascii="Calibri" w:hAnsi="Calibri" w:eastAsia="Calibri"/>
          <w:color w:val="555555"/>
          <w:sz w:val="21"/>
        </w:rPr>
        <w:t>2026 年 8 月</w:t>
      </w:r>
    </w:p>
    <w:p>
      <w:pPr>
        <w:spacing w:before="100" w:after="140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>阅读提示：</w:t>
      </w:r>
      <w:r>
        <w:rPr>
          <w:rFonts w:ascii="Calibri" w:hAnsi="Calibri" w:eastAsia="Calibri"/>
          <w:color w:val="555555"/>
          <w:sz w:val="21"/>
        </w:rPr>
        <w:t>本文严格区分“预测模型”和“显著因子分析”：前者负责预测未来价格，后者负责解释哪些变量与月度价格变化具有统计关联。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一、平台整体预测流程</w:t>
      </w:r>
    </w:p>
    <w:p>
      <w:pPr/>
      <w:r>
        <w:rPr>
          <w:rFonts w:ascii="Calibri" w:hAnsi="Calibri" w:eastAsia="Calibri"/>
          <w:color w:val="555555"/>
          <w:sz w:val="21"/>
        </w:rPr>
        <w:t>当前平台不是依赖单一算法，而是将价格历史、短期趋势、统计回归、可选时间序列模型和月度影响因素组合起来。自动更新时，系统先读取最新价格，再重新生成日度候选预测、执行历史滚动回测，最后结合月度模型进行校准并写入数据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400"/>
        <w:gridCol w:w="4700"/>
        <w:gridCol w:w="32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主要处理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1. 数据准备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读取最新日度价格，构造滞后、均线、涨跌幅和波动率等特征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可建模的价格序列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2. 候选预测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运行最近值、滚动趋势、Ridge、ARIMA 等候选模型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多个未来 30 天预测路径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3. 历史回测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模拟过去多个预测起点，计算 MAE、RMSE、MAPE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分品种、分期限的误差结果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4. 组合加权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保留不劣于基准的模型，按误差倒数平方分配权重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日度组合预测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5. 月度校准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用月度变量模型的目标水平校准日度路径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混合预测路径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6. 自适应选择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比较组合模型和混合模型的历史表现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最终预测、上下限和趋势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二、日度组合预测模型</w:t>
      </w:r>
    </w:p>
    <w:p>
      <w:pPr>
        <w:spacing w:before="100" w:after="140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>当前线上使用：</w:t>
      </w:r>
      <w:r>
        <w:rPr>
          <w:rFonts w:ascii="Calibri" w:hAnsi="Calibri" w:eastAsia="Calibri"/>
          <w:color w:val="555555"/>
          <w:sz w:val="21"/>
        </w:rPr>
        <w:t>自动更新主线使用 build_daily_ensemble_price_model.py 生成候选日度模型，再由 build_daily_hybrid_variable_anchored_model.py 进行月度锚定和最终选择。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2.1 最近值模型（Naive_last）</w:t>
      </w:r>
    </w:p>
    <w:p>
      <w:pPr/>
      <w:r>
        <w:rPr>
          <w:rFonts w:ascii="Calibri" w:hAnsi="Calibri" w:eastAsia="Calibri"/>
          <w:color w:val="555555"/>
          <w:sz w:val="21"/>
        </w:rPr>
        <w:t>最近值模型直接使用最新价格作为未来价格基准。它是最简单的预测方法，但也是所有复杂模型必须超过的基准。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P̂₍ₜ₊ₕ₎ = Pₜ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P̂₍ₜ₊ₕ₎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未来第 h 天的预测价格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预测起点 t 的最新真实价格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预测期限，例如 1 表示下一天，30 表示未来第 30 天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2.2 滚动对数趋势模型</w:t>
      </w:r>
    </w:p>
    <w:p>
      <w:pPr/>
      <w:r>
        <w:rPr>
          <w:rFonts w:ascii="Calibri" w:hAnsi="Calibri" w:eastAsia="Calibri"/>
          <w:color w:val="555555"/>
          <w:sz w:val="21"/>
        </w:rPr>
        <w:t>模型分别观察过去 5、20、60、120 天的价格变化速度，并假设该趋势在预测期内延续。使用对数价格可以将连续涨跌转化为相对变化速度。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dₖ = [ln(Pₜ) − ln(Pₜ₋ₖ)] / k；    P̂₍ₜ₊ₕ₎ = exp[ln(Pₜ) + dₖ·h]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dₖ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过去 k 天的平均对数变化速度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k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趋势窗口长度，当前包括 5、20、60、120 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ln(·)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自然对数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未来预测天数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P̂₍ₜ₊ₕ₎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滚动趋势模型的预测价格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2.3 Ridge 直接多步回归</w:t>
      </w:r>
    </w:p>
    <w:p>
      <w:pPr/>
      <w:r>
        <w:rPr>
          <w:rFonts w:ascii="Calibri" w:hAnsi="Calibri" w:eastAsia="Calibri"/>
          <w:color w:val="555555"/>
          <w:sz w:val="21"/>
        </w:rPr>
        <w:t>Ridge 模型用价格滞后值、均线、收益率、均线偏离和波动率等特征预测指定期限的未来价格。它对每个预测期限直接建立目标，不需要把前一天的预测结果再次作为下一天的输入。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β̂ = arg minβ { Σᵢ(yᵢ − xᵢᵀβ)² + αΣⱼβⱼ² 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yᵢ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训练样本 i 在指定预测期限的真实价格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xᵢ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样本 i 的特征向量，包括滞后价格、均线、收益率和波动率等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待估计的回归系数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α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Ridge 正则化强度；当前实现默认使用 20 左右的正则化参数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Σⱼβⱼ²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L2 正则化项，用于抑制共线特征造成的系数波动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2.4 ARIMA_log 模型</w:t>
      </w:r>
    </w:p>
    <w:p>
      <w:pPr/>
      <w:r>
        <w:rPr>
          <w:rFonts w:ascii="Calibri" w:hAnsi="Calibri" w:eastAsia="Calibri"/>
          <w:color w:val="555555"/>
          <w:sz w:val="21"/>
        </w:rPr>
        <w:t>在配置允许时，系统对数价格序列建立 ARIMA 模型，用于描述价格自身的趋势、自相关和短期惯性。它主要依赖价格历史，不直接等同于外部因果因素模型。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ARIMA(p,d,q) 作用于 ln(Pₜ) 序列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自回归阶数，表示使用多少期历史序列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差分阶数，用于处理趋势或非平稳性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q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移动平均误差阶数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ln(Pₜ)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t 天价格的自然对数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2.5 Median Ensemble 中位数组合</w:t>
      </w:r>
    </w:p>
    <w:p>
      <w:pPr/>
      <w:r>
        <w:rPr>
          <w:rFonts w:ascii="Calibri" w:hAnsi="Calibri" w:eastAsia="Calibri"/>
          <w:color w:val="555555"/>
          <w:sz w:val="21"/>
        </w:rPr>
        <w:t>系统将多个候选模型在同一预测日的结果放在一起，取中位数形成稳健的组合路径。中位数可以降低某个候选模型出现极端预测时对结果的影响。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P̂⁽ᵈᵃⁱˡʸ⁾₍ₜ₊ₕ₎ = median(P̂⁽ᵗʳᵉⁿᵈ⁾₍ₜ₊ₕ₎, P̂⁽ᴿⁱᵈᵍᵉ⁾₍ₜ₊ₕ₎, P̂⁽ᴬᴿᴵᴹᴬ⁾₍ₜ₊ₕ₎, …)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P̂⁽ᵈᵃⁱˡʸ⁾₍ₜ₊ₕ₎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日度组合模型在未来第 h 天的预测价格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median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对候选预测值取中位数，而不是简单平均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候选路径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滚动趋势、Ridge、ARIMA 等可用模型的预测结果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2.6 滚动回测与误差指标</w:t>
      </w:r>
    </w:p>
    <w:p>
      <w:pPr/>
      <w:r>
        <w:rPr>
          <w:rFonts w:ascii="Calibri" w:hAnsi="Calibri" w:eastAsia="Calibri"/>
          <w:color w:val="555555"/>
          <w:sz w:val="21"/>
        </w:rPr>
        <w:t>系统不只在最新数据上拟合一次，而是模拟站在过去多个日期进行预测，再将预测结果与当时的真实价格比较。这种滚动起点回测可以避免只看样本内拟合效果。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MAE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MAE = (1/n)Σᵢ|ŷᵢ − yᵢ|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有效回测样本数量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ŷᵢ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i 个回测样本的预测价格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yᵢ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i 个回测样本的真实价格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MAE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平均绝对误差，越小越好，单位与价格相同</w:t>
            </w:r>
          </w:p>
        </w:tc>
      </w:tr>
    </w:tbl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RMSE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RMSE = √[(1/n)Σᵢ(ŷᵢ − yᵢ)²]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RMSE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均方根误差，对较大的预测偏差更敏感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ŷᵢ − yᵢ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预测误差</w:t>
            </w:r>
          </w:p>
        </w:tc>
      </w:tr>
    </w:tbl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MAPE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MAPE = (100%/n)Σᵢ |(ŷᵢ − yᵢ)/yᵢ|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MAPE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平均绝对百分比误差，便于不同价格品种比较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yᵢ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真实价格；真实值接近 0 时该指标需要谨慎解释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2.7 模型权重计算</w:t>
      </w:r>
    </w:p>
    <w:p>
      <w:pPr/>
      <w:r>
        <w:rPr>
          <w:rFonts w:ascii="Calibri" w:hAnsi="Calibri" w:eastAsia="Calibri"/>
          <w:color w:val="555555"/>
          <w:sz w:val="21"/>
        </w:rPr>
        <w:t>在每个原材料、每个预测期限上，系统先把候选模型与 Naive_last 基准进行比较，只保留 MAE 不高于基准的模型。模型误差越小，权重越高。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scoreⱼ = 1 / MAEⱼ²；    wⱼ = scoreⱼ / Σₖscoreₖ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MAEⱼ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候选模型 j 在该品种、该预测期限上的历史 MAE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scoreⱼ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根据误差计算的模型得分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wⱼ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模型 j 在组合预测中的归一化权重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Naive_last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即使其他模型不合格，也保留最近值基准作为安全底线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三、月度变量锚定模型</w:t>
      </w:r>
    </w:p>
    <w:p>
      <w:pPr/>
      <w:r>
        <w:rPr>
          <w:rFonts w:ascii="Calibri" w:hAnsi="Calibri" w:eastAsia="Calibri"/>
          <w:color w:val="555555"/>
          <w:sz w:val="21"/>
        </w:rPr>
        <w:t>日度模型擅长描述近期价格路径，但可能无法充分体现月度宏观需求、行业景气度和供需变量。因此，平台使用月度变量模型给出未来月份的价格锚点，再对日度组合预测进行适度校准。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3.1 月度锚定公式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P̂⁽ᶠⁱⁿᵃˡ⁾₍ₜ₊ₕ₎ = P̂⁽ᵈᵃⁱˡʸ⁾₍ₜ₊ₕ₎ + wₕ · (Tₘ − P̄⁽ᵈᵃⁱˡʸ⁾ₘ)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P̂⁽ᶠⁱⁿᵃˡ⁾₍ₜ₊ₕ₎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最终混合模型对未来第 h 天的预测价格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P̂⁽ᵈᵃⁱˡʸ⁾₍ₜ₊ₕ₎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日度组合模型预测价格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Tₘ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月度变量模型给出的第 m 个月目标水平，即月度锚点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P̄⁽ᵈᵃⁱˡʸ⁾ₘ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日度预测在该月份内的平均价格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wₕ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h 天的锚定强度；距离预测起点越远，通常越大</w:t>
            </w:r>
          </w:p>
        </w:tc>
      </w:tr>
    </w:tbl>
    <w:p>
      <w:pPr/>
      <w:r>
        <w:rPr>
          <w:rFonts w:ascii="Calibri" w:hAnsi="Calibri" w:eastAsia="Calibri"/>
          <w:color w:val="555555"/>
          <w:sz w:val="21"/>
        </w:rPr>
        <w:t>当月度锚点高于日度预测均值时，校准项为正；当月度锚点低于日度预测均值时，校准项为负。当前实现的最大锚定强度默认为 0.75，并随预测期限逐步增加。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3.2 自适应选择最终模型</w:t>
      </w:r>
    </w:p>
    <w:p>
      <w:pPr/>
      <w:r>
        <w:rPr>
          <w:rFonts w:ascii="Calibri" w:hAnsi="Calibri" w:eastAsia="Calibri"/>
          <w:color w:val="555555"/>
          <w:sz w:val="21"/>
        </w:rPr>
        <w:t>系统分别回测原始日度组合模型和月度变量锚定模型。如果混合模型在同一品种、同一预测期限上的误差更小，就选择混合模型；否则继续使用日度组合模型。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Model₍ₛ,ₕ₎ = Hybrid，若 MAE⁽ᴴʸᵇʳⁱᵈ⁾₍ₛ,ₕ₎ &lt; MAE⁽ᴱⁿˢᵉᵐᵇˡᵉ⁾₍ₛ,ₕ₎；否则为 Ensemble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原材料品种，例如 1#铜或 A00 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预测期限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MAE⁽ᴴʸᵇʳⁱᵈ⁾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月度锚定模型的历史平均绝对误差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MAE⁽ᴱⁿˢᵉᵐᵇˡᵉ⁾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日度组合模型的历史平均绝对误差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四、显著因子筛选方法</w:t>
      </w:r>
    </w:p>
    <w:p>
      <w:pPr>
        <w:spacing w:before="100" w:after="140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>当前网页状态：</w:t>
      </w:r>
      <w:r>
        <w:rPr>
          <w:rFonts w:ascii="Calibri" w:hAnsi="Calibri" w:eastAsia="Calibri"/>
          <w:color w:val="555555"/>
          <w:sz w:val="21"/>
        </w:rPr>
        <w:t>影响分析页面当前读取 domestic_material_factor_coefficients_v1.csv 等预计算文件；用户打开网页时主要是展示结果，并不是现场重新执行完整回归。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4.1 目标变量定义</w:t>
      </w:r>
    </w:p>
    <w:p>
      <w:pPr/>
      <w:r>
        <w:rPr>
          <w:rFonts w:ascii="Calibri" w:hAnsi="Calibri" w:eastAsia="Calibri"/>
          <w:color w:val="555555"/>
          <w:sz w:val="21"/>
        </w:rPr>
        <w:t>显著因子分析以各原材料价格的月环比变化作为目标变量，而不是直接对价格绝对值进行回归。这样可以减少不同品种价格量纲和长期趋势差异的影响。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Yₜ = (Pₜ − Pₜ₋₁) / Pₜ₋₁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Yₜ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t 个月的价格月环比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t 个月的平均价格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Pₜ₋₁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上一个月的平均价格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4.2 候选因子与月度对齐</w:t>
      </w:r>
    </w:p>
    <w:p>
      <w:pPr/>
      <w:r>
        <w:rPr>
          <w:rFonts w:ascii="Calibri" w:hAnsi="Calibri" w:eastAsia="Calibri"/>
          <w:color w:val="555555"/>
          <w:sz w:val="21"/>
        </w:rPr>
        <w:t>候选因子来自商品市场、宏观经济、下游需求、库存、贸易和事件信息。日度指标通常按月求均值、月末值或月度变化率；宏观数据则根据来源使用同比、环比或变化量。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600"/>
        <w:gridCol w:w="4000"/>
        <w:gridCol w:w="3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因子类别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典型变量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业务含义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商品市场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SHFE 收盘价、成交量、持仓量、仓单库存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期货价格、交易活跃度和库存压力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成本与价差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升贴水、进口利润、现货期货价差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进口窗口、现货紧张程度和套利条件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宏观经济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PPI、PMI、工业增加值、政策不确定性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工业景气、成本传导和宏观预期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下游需求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汽车、新能源汽车、房地产、电线电缆行业指标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终端需求和相关行业景气度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事件因素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限电、环保限产、运输中断、地缘政治冲击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非连续性供给或需求冲击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4.3 数据清理与样本约束</w:t>
      </w:r>
    </w:p>
    <w:p>
      <w:pPr>
        <w:pStyle w:val="ListNumber"/>
        <w:spacing w:after="60"/>
      </w:pPr>
      <w:r>
        <w:rPr>
          <w:rFonts w:ascii="Calibri" w:hAnsi="Calibri" w:eastAsia="Calibri"/>
          <w:color w:val="555555"/>
          <w:sz w:val="21"/>
        </w:rPr>
        <w:t>按照月份对齐价格目标变量和候选因子。</w:t>
      </w:r>
    </w:p>
    <w:p>
      <w:pPr>
        <w:pStyle w:val="ListNumber"/>
        <w:spacing w:after="60"/>
      </w:pPr>
      <w:r>
        <w:rPr>
          <w:rFonts w:ascii="Calibri" w:hAnsi="Calibri" w:eastAsia="Calibri"/>
          <w:color w:val="555555"/>
          <w:sz w:val="21"/>
        </w:rPr>
        <w:t>删除缺失值、无穷值和没有变化的常数变量。</w:t>
      </w:r>
    </w:p>
    <w:p>
      <w:pPr>
        <w:pStyle w:val="ListNumber"/>
        <w:spacing w:after="60"/>
      </w:pPr>
      <w:r>
        <w:rPr>
          <w:rFonts w:ascii="Calibri" w:hAnsi="Calibri" w:eastAsia="Calibri"/>
          <w:color w:val="555555"/>
          <w:sz w:val="21"/>
        </w:rPr>
        <w:t>检查有效样本量；样本不足时不执行回归。</w:t>
      </w:r>
    </w:p>
    <w:p>
      <w:pPr>
        <w:pStyle w:val="ListNumber"/>
        <w:spacing w:after="60"/>
      </w:pPr>
      <w:r>
        <w:rPr>
          <w:rFonts w:ascii="Calibri" w:hAnsi="Calibri" w:eastAsia="Calibri"/>
          <w:color w:val="555555"/>
          <w:sz w:val="21"/>
        </w:rPr>
        <w:t>对目标变量和因子进行标准化，使系数具备可比较性。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4.4 标准化多元 OLS 回归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Z(Yₜ) = β₀ + β₁Z(X₁,ₜ) + β₂Z(X₂,ₜ) + … + βₖZ(Xₖ,ₜ) + εₜ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Z(Yₜ)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标准化后的目标变量，即价格月环比的标准分数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Z(Xⱼ,ₜ)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标准化后的第 j 个候选因子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βⱼ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在控制其他因子后，第 j 个因子的标准化回归系数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εₜ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模型未解释的误差项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β₀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截距项</w:t>
            </w:r>
          </w:p>
        </w:tc>
      </w:tr>
    </w:tbl>
    <w:p>
      <w:pPr/>
      <w:r>
        <w:rPr>
          <w:rFonts w:ascii="Calibri" w:hAnsi="Calibri" w:eastAsia="Calibri"/>
          <w:color w:val="555555"/>
          <w:sz w:val="21"/>
        </w:rPr>
        <w:t>标准化系数的绝对值越大，表示该因子在当前样本和当前模型中的相对关联强度越高。系数为正表示正向统计关系，系数为负表示负向统计关系。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4.5 HAC 稳健标准误与 p 值</w:t>
      </w:r>
    </w:p>
    <w:p>
      <w:pPr/>
      <w:r>
        <w:rPr>
          <w:rFonts w:ascii="Calibri" w:hAnsi="Calibri" w:eastAsia="Calibri"/>
          <w:color w:val="555555"/>
          <w:sz w:val="21"/>
        </w:rPr>
        <w:t>月度时间序列可能存在自相关和异方差，因此当前回归使用 HAC 稳健协方差，最大滞后为 2 个月。p 值用于判断在控制其他因子后，该因子的系数是否有足够证据区别于 0。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tⱼ = β̂ⱼ / SEᴴᴬᶜ(β̂ⱼ)；    pⱼ = Pr(|T| ≥ |tⱼ| | H₀: βⱼ = 0)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β̂ⱼ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j 个因子的估计系数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SEᴴᴬᶜ(β̂ⱼ)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HAC 稳健标准误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tⱼ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稳健 t 统计量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在原假设系数为 0 时观察到当前或更极端统计量的概率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4.6 p 值显著性阈值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600"/>
        <w:gridCol w:w="1600"/>
        <w:gridCol w:w="5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 值范围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标记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p &lt; 0.01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***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极显著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0.01 ≤ p &lt; 0.05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**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显著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0.05 ≤ p &lt; 0.10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*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边际显著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p ≥ 0.10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不显著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当前样本证据不足</w:t>
            </w:r>
          </w:p>
        </w:tc>
      </w:tr>
    </w:tbl>
    <w:p>
      <w:pPr>
        <w:spacing w:before="100" w:after="140"/>
        <w:ind w:left="173" w:right="173"/>
        <w:shd w:fill="FFF8E8"/>
        <w:pBdr>
          <w:left w:val="single" w:sz="18" w:space="8" w:color="7A5A00"/>
        </w:pBdr>
      </w:pPr>
      <w:r>
        <w:rPr>
          <w:rFonts w:ascii="Calibri" w:hAnsi="Calibri" w:eastAsia="Calibri"/>
          <w:b/>
          <w:color w:val="0B2545"/>
          <w:sz w:val="21"/>
        </w:rPr>
        <w:t>重要边界：</w:t>
      </w:r>
      <w:r>
        <w:rPr>
          <w:rFonts w:ascii="Calibri" w:hAnsi="Calibri" w:eastAsia="Calibri"/>
          <w:color w:val="555555"/>
          <w:sz w:val="21"/>
        </w:rPr>
        <w:t>“统计显著”表示当前样本支持该因子与目标变量存在条件关联，不等于已经证明该因子具有确定的因果作用。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4.7 影响强度排名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Impactⱼ = |βⱼ|；    Rankⱼ = rank(Impactⱼ, descending)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Impactⱼ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j 个因子的影响强度指标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|βⱼ|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标准化系数绝对值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Rankⱼ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按影响强度从大到小的排名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3800"/>
        <w:gridCol w:w="1900"/>
        <w:gridCol w:w="1900"/>
        <w:gridCol w:w="1760"/>
      </w:tblGrid>
      <w:tr>
        <w:trPr>
          <w:tblHeader w:val="true"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当前文件中的铜因子示例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标准化系数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 值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显著性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SHFE 铜主连收盘价环比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0.5667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7.13×10⁻⁹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***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电线电缆及电工器材制造 PPI 环比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0.3395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0.0039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***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PPI 当月同比增长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0.1898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0.0323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**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SHFE 铜主连成交量环比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−0.1720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0.0611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*</w:t>
            </w:r>
          </w:p>
        </w:tc>
      </w:tr>
    </w:tbl>
    <w:p>
      <w:pPr/>
      <w:r>
        <w:rPr>
          <w:rFonts w:ascii="Calibri" w:hAnsi="Calibri" w:eastAsia="Calibri"/>
          <w:color w:val="555555"/>
          <w:sz w:val="21"/>
        </w:rPr>
        <w:t>以上示例来自当前项目的 domestic_material_factor_coefficients_v1.csv，属于解释性回归结果，不应直接解读为“价格将按该系数机械变化”。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五、v1 与 v2 因子筛选方法对比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v1 当前网页结果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v2 增强型分析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基本方法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预先定义候选因子后进行基线 OLS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在候选因子基础上增加 VIF、LassoCV 和事件变量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共线性处理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主要依靠解释时谨慎判断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VIF 逐步删除高共线变量，阈值默认 10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变量选择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按 p 值和标准化系数解释与排名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LassoCV 选择非零系数，最多保留约 8 个变量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事件因素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不作为主要 v1 筛选步骤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可加入限电、环保、运输、地缘政治等 0/1 虚拟变量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适用定位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稳定、易解释的基线分析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更适合作为后续稳健性检验和变量筛选候选</w:t>
            </w:r>
          </w:p>
        </w:tc>
      </w:tr>
    </w:tbl>
    <w:p>
      <w:pPr>
        <w:spacing w:before="100" w:after="140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>当前状态：</w:t>
      </w:r>
      <w:r>
        <w:rPr>
          <w:rFonts w:ascii="Calibri" w:hAnsi="Calibri" w:eastAsia="Calibri"/>
          <w:color w:val="555555"/>
          <w:sz w:val="21"/>
        </w:rPr>
        <w:t>网页影响分析目前指向 v1 系数文件；v2 脚本属于项目中的增强型分析分支，若要让网页展示 v2 结果，需要明确替换输入文件或增加版本切换。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5.1 VIF 共线性筛选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VIFⱼ = 1 / (1 − Rⱼ²)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VIFⱼ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第 j 个变量的方差膨胀因子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Rⱼ²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用其他候选因子解释第 j 个因子时得到的决定系数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VIF 较高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说明该变量与其他候选因子信息重复，系数解释可能不稳定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5.2 Lasso 变量筛选</w:t>
      </w:r>
    </w:p>
    <w:p>
      <w:pPr>
        <w:spacing w:before="120" w:after="60"/>
      </w:pPr>
      <w:r>
        <w:rPr>
          <w:rFonts w:ascii="Calibri" w:hAnsi="Calibri" w:eastAsia="Calibri"/>
          <w:b/>
          <w:color w:val="2E74B5"/>
          <w:sz w:val="20"/>
        </w:rPr>
        <w:t>公式</w:t>
      </w:r>
    </w:p>
    <w:p>
      <w:pPr>
        <w:spacing w:before="60" w:after="120"/>
        <w:ind w:left="259" w:right="259"/>
        <w:jc w:val="center"/>
        <w:shd w:fill="F2F4F7"/>
      </w:pPr>
      <w:r>
        <w:rPr>
          <w:rFonts w:ascii="Cambria Math" w:hAnsi="Cambria Math" w:eastAsia="Cambria Math"/>
          <w:color w:val="0B2545"/>
          <w:sz w:val="24"/>
        </w:rPr>
        <w:t>β̂ = arg minβ { Σᵢ(yᵢ − xᵢᵀβ)² + λΣⱼ|βⱼ| 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λ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L1 正则化强度，由 LassoCV 通过交叉验证选择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|βⱼ|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系数绝对值；L1 惩罚会将部分不重要变量系数压缩为 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LassoCV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555555"/>
                <w:sz w:val="19"/>
              </w:rPr>
              <w:t>通过多个交叉验证折次选择较合适的 λ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六、模型解释边界与风险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显著因子不等于因果因素。因子可能与其他变量共同受第三个因素影响。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影响强度不等于最终预测贡献。影响分析是月度解释模型，日度预测还会受到价格滞后、均线、趋势和模型回测结果影响。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p 值受样本区间、变量数量、缺失值处理和因子相关性影响。换一个时间窗口，显著性可能变化。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候选因子必须具备稳定、及时、可授权的数据来源；如果接口或 Cookie 失效，模型无法获得最新数据。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上线企业内网前，建议继续增加滚动样本外验证、显著性稳定性检查、多重检验校正和数据可用性监控。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附录：公式与参数速查表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3800"/>
        <w:gridCol w:w="2600"/>
        <w:gridCol w:w="2960"/>
      </w:tblGrid>
      <w:tr>
        <w:trPr>
          <w:tblHeader w:val="true"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公式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关键参数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P̂₍ₜ₊ₕ₎ = Pₜ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最近值基准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t：预测起点；h：预测期限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dₖ = [ln(Pₜ)−ln(Pₜ₋ₖ)]/k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滚动趋势速度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k：5/20/60/120 天窗口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P̂⁽ᵈᵃⁱˡʸ⁾ = median(候选路径)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稳健组合预测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候选模型：趋势、Ridge、ARIMA 等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P̂⁽ᶠⁱⁿᵃˡ⁾ = P̂⁽ᵈᵃⁱˡʸ⁾ + wₕ(Tₘ−P̄ₘ)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月度锚定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Tₘ：月度锚点；wₕ：期限权重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MAE、RMSE、MAPE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历史回测评价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n：回测样本数；ŷ：预测值；y：真实值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Z(Y)=β₀+ΣβⱼZ(Xⱼ)+ε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显著因子回归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βⱼ：标准化系数；ε：误差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Impactⱼ=|βⱼ|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影响强度排名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绝对值越大，样本内相对关联越强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VIFⱼ=1/(1−Rⱼ²)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共线性检查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VIF 默认阈值 10</w:t>
            </w:r>
          </w:p>
        </w:tc>
      </w:tr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color w:val="555555"/>
                <w:sz w:val="18"/>
              </w:rPr>
              <w:t>Lasso: SSE+λΣ|βⱼ|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稀疏变量选择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color w:val="555555"/>
                <w:sz w:val="18"/>
              </w:rPr>
              <w:t>λ：交叉验证选择的正则化强度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附录：主要项目依据</w:t>
      </w:r>
    </w:p>
    <w:p>
      <w:pPr/>
      <w:r>
        <w:rPr>
          <w:rFonts w:ascii="Calibri" w:hAnsi="Calibri" w:eastAsia="Calibri"/>
          <w:color w:val="555555"/>
          <w:sz w:val="21"/>
        </w:rPr>
        <w:t>本文依据以下项目文件整理，文件路径以当前项目目录为基准：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build_daily_ensemble_price_model.py：日度候选模型、滚动回测和模型权重；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build_daily_hybrid_variable_anchored_model.py：月度锚定和自适应模型选择；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build_domestic_material_factor_model_v1.py：v1 因子回归、标准化系数和显著性；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run_domestic_regression_analysis_v2.py：VIF、LassoCV 和事件变量增强分析；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domestic_material_factor_coefficients_v1.csv：当前影响分析页面读取的系数结果；</w:t>
      </w:r>
    </w:p>
    <w:p>
      <w:pPr>
        <w:pStyle w:val="ListBullet"/>
        <w:spacing w:after="60"/>
      </w:pPr>
      <w:r>
        <w:rPr>
          <w:rFonts w:ascii="Calibri" w:hAnsi="Calibri" w:eastAsia="Calibri"/>
          <w:color w:val="555555"/>
          <w:sz w:val="21"/>
        </w:rPr>
        <w:t>app.py：网页端模型说明和结果展示逻辑。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55555"/>
        <w:sz w:val="17"/>
      </w:rPr>
      <w:t xml:space="preserve">内部技术说明  ·  </w:t>
    </w:r>
    <w:r>
      <w:rPr>
        <w:rFonts w:ascii="Calibri" w:hAnsi="Calibri" w:eastAsia="Calibri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color w:val="555555"/>
        <w:sz w:val="17"/>
      </w:rPr>
      <w:t>国内原材料价格预测平台  |  模型方法说明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720" w:hanging="360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720" w:hanging="360"/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