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Маратов Ерасыл</w:t>
      </w:r>
    </w:p>
    <w:p/>
    <w:p>
      <w:pPr>
        <w:pStyle w:val="Title"/>
        <w:jc w:val="center"/>
      </w:pPr>
      <w:r>
        <w:t>Разведочный анализ данных (EDA) — Knee MRI Segmentation</w:t>
      </w:r>
    </w:p>
    <w:p>
      <w:r>
        <w:t>Анализ набора данных МРТ коленного сустава из Osteoarthritis Initiative (OAI), содержащего срезы с разметкой анатомических структур для задачи автоматической сегментации.</w:t>
      </w:r>
    </w:p>
    <w:p>
      <w:r>
        <w:rPr>
          <w:b/>
        </w:rPr>
        <w:t xml:space="preserve">Датасет: </w:t>
      </w:r>
      <w:r>
        <w:t>3D Knee MRI Cartilage Segmentation (Kaggle: ujjwalsinha01/3d-knee-mri-cartilage-segmentation)</w:t>
      </w:r>
    </w:p>
    <w:p>
      <w:r>
        <w:rPr>
          <w:b/>
        </w:rPr>
        <w:t xml:space="preserve">Классы: </w:t>
      </w:r>
      <w:r>
        <w:t>5 (фон, бедренный хрящ, большеберцовый хрящ, костная ткань, дефекты хряща)</w:t>
      </w:r>
    </w:p>
    <w:p>
      <w:r>
        <w:rPr>
          <w:b/>
        </w:rPr>
        <w:t xml:space="preserve">Сплиты: </w:t>
      </w:r>
      <w:r>
        <w:t>train / val / test</w:t>
      </w:r>
    </w:p>
    <w:p>
      <w:r>
        <w:rPr>
          <w:b/>
        </w:rPr>
        <w:t xml:space="preserve">Формат: </w:t>
      </w:r>
      <w:r>
        <w:t>PNG (grayscale) → .npy</w:t>
      </w:r>
    </w:p>
    <w:p>
      <w:pPr>
        <w:pStyle w:val="Heading1"/>
      </w:pPr>
      <w:r>
        <w:t>1. Описание извлечённых признаков</w:t>
      </w:r>
    </w:p>
    <w:p>
      <w:r>
        <w:t>Из каждого МРТ-среза извлечены 20 интерпретируемых параметров:</w:t>
      </w:r>
    </w:p>
    <w:p>
      <w:pPr>
        <w:pStyle w:val="ListBullet"/>
      </w:pPr>
      <w:r>
        <w:rPr>
          <w:b/>
        </w:rPr>
        <w:t>Интенсивность:</w:t>
      </w:r>
      <w:r>
        <w:t xml:space="preserve"> mean_intensity, std_intensity, skew_intensity, kurt_intensity</w:t>
      </w:r>
    </w:p>
    <w:p>
      <w:pPr>
        <w:pStyle w:val="ListBullet"/>
      </w:pPr>
      <w:r>
        <w:rPr>
          <w:b/>
        </w:rPr>
        <w:t>Спектральные:</w:t>
      </w:r>
      <w:r>
        <w:t xml:space="preserve"> fft_mean (средняя энергия высокочастотного спектра Фурье)</w:t>
      </w:r>
    </w:p>
    <w:p>
      <w:pPr>
        <w:pStyle w:val="ListBullet"/>
      </w:pPr>
      <w:r>
        <w:rPr>
          <w:b/>
        </w:rPr>
        <w:t>Резкость:</w:t>
      </w:r>
      <w:r>
        <w:t xml:space="preserve"> laplacian_var (дисперсия оператора Лапласа)</w:t>
      </w:r>
    </w:p>
    <w:p>
      <w:pPr>
        <w:pStyle w:val="ListBullet"/>
      </w:pPr>
      <w:r>
        <w:rPr>
          <w:b/>
        </w:rPr>
        <w:t>Границы:</w:t>
      </w:r>
      <w:r>
        <w:t xml:space="preserve"> edge_density (плотность границ Canny)</w:t>
      </w:r>
    </w:p>
    <w:p>
      <w:pPr>
        <w:pStyle w:val="ListBullet"/>
      </w:pPr>
      <w:r>
        <w:rPr>
          <w:b/>
        </w:rPr>
        <w:t>Текстура (GLCM):</w:t>
      </w:r>
      <w:r>
        <w:t xml:space="preserve"> contrast, homogeneity, energy, correlation, entropy</w:t>
      </w:r>
    </w:p>
    <w:p>
      <w:pPr>
        <w:pStyle w:val="ListBullet"/>
      </w:pPr>
      <w:r>
        <w:rPr>
          <w:b/>
        </w:rPr>
        <w:t>Морфология:</w:t>
      </w:r>
      <w:r>
        <w:t xml:space="preserve"> bone_area_ratio, cartilage_area_ratio, joint_space_width</w:t>
      </w:r>
    </w:p>
    <w:p>
      <w:pPr>
        <w:pStyle w:val="ListBullet"/>
      </w:pPr>
      <w:r>
        <w:rPr>
          <w:b/>
        </w:rPr>
        <w:t>Клинические:</w:t>
      </w:r>
      <w:r>
        <w:t xml:space="preserve"> osteophyte_score, sclerosis_index</w:t>
      </w:r>
    </w:p>
    <w:p>
      <w:pPr>
        <w:pStyle w:val="ListBullet"/>
      </w:pPr>
      <w:r>
        <w:rPr>
          <w:b/>
        </w:rPr>
        <w:t>Гистограмма:</w:t>
      </w:r>
      <w:r>
        <w:t xml:space="preserve"> mean_gradient, hist_peak_pos, hist_spread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1628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analysis_panel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62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Визуализация карт признаков для KL-0 (здоровый) и KL-4 (тяжёлый OA): исходный срез, спектр Фурье, лапласиан, границы и карта интенсивности.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2181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_grid_kl_grad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218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Примеры МРТ-срезов по степеням остеоартрита (KL 0–4). С увеличением степени — сужение суставной щели, появление остеофитов, истончение хряща.</w:t>
      </w:r>
    </w:p>
    <w:p>
      <w:pPr>
        <w:pStyle w:val="Heading1"/>
      </w:pPr>
      <w:r>
        <w:t>2. Разведочный анализ данных и оценка распределений</w:t>
      </w:r>
    </w:p>
    <w:p>
      <w:pPr>
        <w:pStyle w:val="Heading2"/>
      </w:pPr>
      <w:r>
        <w:t>Распределение классов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5258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distrib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5258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55166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lit_tab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5516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Обнаружен дисбаланс классов: KL-4 (тяжёлый остеоартрит) представлен значительно меньшим числом образцов. Это требует взвешивания классов или аугментации при обучении.</w:t>
      </w:r>
    </w:p>
    <w:p>
      <w:pPr>
        <w:pStyle w:val="Heading2"/>
      </w:pPr>
      <w:r>
        <w:t>Распределение признаков (KDE + Boxplot)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8702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tion_edge_densi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70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Плотность границ (edge_density): </w:t>
      </w:r>
      <w:r>
        <w:t>снижается с увеличением тяжести OA. Деградация хрящевой ткани приводит к потере чётких анатомических границ — аналогично тому, как реальные фотографии содержат больше высокочастотного «хаоса» по сравнению со сглаженными синтетическими изображениями.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87025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tion_laplacian_va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70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Дисперсия лапласиана (laplacian_var): </w:t>
      </w:r>
      <w:r>
        <w:t>здоровые суставы (KL-0) показывают более высокую резкость. Прогрессирование заболевания сопровождается размытием границ тканей.</w:t>
      </w:r>
    </w:p>
    <w:p>
      <w:pPr>
        <w:pStyle w:val="Heading1"/>
      </w:pPr>
      <w:r>
        <w:t>3. Корреляционный анализ и снижение размерности</w:t>
      </w:r>
    </w:p>
    <w:p>
      <w:pPr>
        <w:pStyle w:val="Heading2"/>
      </w:pPr>
      <w:r>
        <w:t>Матрица корреляций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41179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lation_matrix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411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Связь с целевой переменной: </w:t>
      </w:r>
      <w:r>
        <w:t>наибольшую корреляцию с KL-грейдом демонстрируют joint_space_width, osteophyte_score и cartilage_area_ratio.</w:t>
      </w:r>
    </w:p>
    <w:p>
      <w:r>
        <w:rPr>
          <w:b/>
        </w:rPr>
        <w:t xml:space="preserve">Мультиколлинеарность: </w:t>
      </w:r>
      <w:r>
        <w:t>внутри группы текстурных признаков GLCM (energy и homogeneity) наблюдается высокая корреляция, близкая к r ≈ 0.9.</w:t>
      </w:r>
    </w:p>
    <w:p>
      <w:pPr>
        <w:pStyle w:val="Heading2"/>
      </w:pPr>
      <w:r>
        <w:t>PCA-проекция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11402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a_projec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14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Проекция на 2 главные компоненты показывает частичное перекрытие классов KL-0 — KL-4. Отсутствие чёткой линейной границы указывает на необходимость применения нелинейных моделей для достижения высокой точности.</w:t>
      </w:r>
    </w:p>
    <w:p>
      <w:pPr>
        <w:pStyle w:val="Heading1"/>
      </w:pPr>
      <w:r>
        <w:t>4. Сравнение моделей и результаты классификации</w:t>
      </w:r>
    </w:p>
    <w:p>
      <w:r>
        <w:t>Протестированы: Logistic Regression (baseline) и Random Forest (ансамблевый метод).</w:t>
      </w:r>
    </w:p>
    <w:p>
      <w:pPr>
        <w:pStyle w:val="Heading2"/>
      </w:pPr>
      <w:r>
        <w:t>Confusion Matrices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36979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c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69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Random Forest демонстрирует значительное превосходство — ошибки межклассовой путаницы снижаются, особенно для граничных классов (KL-1 / KL-2).</w:t>
      </w:r>
    </w:p>
    <w:p>
      <w:pPr>
        <w:pStyle w:val="Heading2"/>
      </w:pPr>
      <w:r>
        <w:t>ROC-кривые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30196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curv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301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AUC у Random Forest существенно выше, чем у Logistic Regression, что подтверждает эффективность ансамблевого метода на данных с нелинейными паттернами, выявленными на этапе PCA.</w:t>
      </w:r>
    </w:p>
    <w:p>
      <w:pPr>
        <w:pStyle w:val="Heading1"/>
      </w:pPr>
      <w:r>
        <w:t>5. Интерпретируемость (Feature Importance)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11171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importanc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1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Ключевые индикаторы степени остеоартрита по Random Forest:</w:t>
      </w:r>
    </w:p>
    <w:p>
      <w:pPr>
        <w:pStyle w:val="ListNumber"/>
      </w:pPr>
      <w:r>
        <w:rPr>
          <w:b/>
        </w:rPr>
        <w:t>joint_space_width</w:t>
      </w:r>
      <w:r>
        <w:t xml:space="preserve"> (ширина суставной щели — наиболее весомый фактор)</w:t>
      </w:r>
    </w:p>
    <w:p>
      <w:pPr>
        <w:pStyle w:val="ListNumber"/>
      </w:pPr>
      <w:r>
        <w:rPr>
          <w:b/>
        </w:rPr>
        <w:t>osteophyte_score</w:t>
      </w:r>
      <w:r>
        <w:t xml:space="preserve"> (выраженность остеофитов)</w:t>
      </w:r>
    </w:p>
    <w:p>
      <w:pPr>
        <w:pStyle w:val="ListNumber"/>
      </w:pPr>
      <w:r>
        <w:rPr>
          <w:b/>
        </w:rPr>
        <w:t>cartilage_area_ratio</w:t>
      </w:r>
      <w:r>
        <w:t xml:space="preserve"> (доля хрящевой ткани)</w:t>
      </w:r>
    </w:p>
    <w:p>
      <w:pPr>
        <w:pStyle w:val="ListNumber"/>
      </w:pPr>
      <w:r>
        <w:rPr>
          <w:b/>
        </w:rPr>
        <w:t>fft_mean</w:t>
      </w:r>
      <w:r>
        <w:t xml:space="preserve"> (спектральная энергия)</w:t>
      </w:r>
    </w:p>
    <w:p>
      <w:pPr>
        <w:pStyle w:val="ListNumber"/>
      </w:pPr>
      <w:r>
        <w:rPr>
          <w:b/>
        </w:rPr>
        <w:t>laplacian_var</w:t>
      </w:r>
      <w:r>
        <w:t xml:space="preserve"> (микротекстура / резкость)</w:t>
      </w:r>
    </w:p>
    <w:p>
      <w:r>
        <w:t>Базовые статистики интенсивности (skew, kurtosis) оказались наименее значимыми — клинически значимые морфологические признаки (щель, остеофиты, хрящ) несут больше информации, чем простые пиксельные характеристики.</w:t>
      </w:r>
    </w:p>
    <w:p>
      <w:pPr>
        <w:pStyle w:val="Heading1"/>
      </w:pPr>
      <w:r>
        <w:t>Содержательные выводы</w:t>
      </w:r>
    </w:p>
    <w:p>
      <w:r>
        <w:rPr>
          <w:b/>
        </w:rPr>
        <w:t>1. Дисбаланс классов</w:t>
      </w:r>
      <w:r>
        <w:t xml:space="preserve"> — KL-4 (тяжёлый OA) содержит в ~3 раза меньше образцов, что может смещать модель без балансировки.</w:t>
      </w:r>
    </w:p>
    <w:p>
      <w:r>
        <w:rPr>
          <w:b/>
        </w:rPr>
        <w:t>2. Ширина суставной щели — главный предиктор</w:t>
      </w:r>
      <w:r>
        <w:t xml:space="preserve"> — демонстрирует наибольшую важность и корреляцию с тяжестью OA.</w:t>
      </w:r>
    </w:p>
    <w:p>
      <w:r>
        <w:rPr>
          <w:b/>
        </w:rPr>
        <w:t>3. Спектральные и текстурные артефакты</w:t>
      </w:r>
      <w:r>
        <w:t xml:space="preserve"> — fft_mean и laplacian_var показывают статистически значимые различия между классами, подтверждая, что прогрессирование OA изменяет частотные характеристики снимка.</w:t>
      </w:r>
    </w:p>
    <w:p>
      <w:r>
        <w:rPr>
          <w:b/>
        </w:rPr>
        <w:t>4. Нелинейность данных</w:t>
      </w:r>
      <w:r>
        <w:t xml:space="preserve"> — PCA показывает перекрытие классов; Random Forest превосходит Logistic Regression по AUC, что подтверждает нелинейную природу зависимостей.</w:t>
      </w:r>
    </w:p>
    <w:p>
      <w:r>
        <w:rPr>
          <w:b/>
        </w:rPr>
        <w:t>5. Мультиколлинеарность текстуры</w:t>
      </w:r>
      <w:r>
        <w:t xml:space="preserve"> — признаки GLCM (energy, homogeneity) показывают корреляцию ≈ 0.9, что может потребовать отбора признаков или регуляризации.</w:t>
      </w:r>
    </w:p>
    <w:p>
      <w:r>
        <w:rPr>
          <w:b/>
        </w:rPr>
        <w:t>6. Базовые пиксельные статистики малоинформативны</w:t>
      </w:r>
      <w:r>
        <w:t xml:space="preserve"> — skewness и kurtosis интенсивности занимают последние места по важности.</w:t>
      </w:r>
    </w:p>
    <w:p>
      <w:r>
        <w:rPr>
          <w:b/>
        </w:rPr>
        <w:t>7. Базовый метод сегментации (Otsu + морфология)</w:t>
      </w:r>
      <w:r>
        <w:t xml:space="preserve"> — обеспечивает Dice ~0.20–0.35, что значительно ниже нейросетевых аналогов (U-Net: 0.85–0.95), но достаточно для baseline.</w:t>
      </w:r>
    </w:p>
    <w:p>
      <w:pPr>
        <w:pStyle w:val="Heading1"/>
      </w:pPr>
      <w:r>
        <w:t>Визуализации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#</w:t>
            </w:r>
          </w:p>
        </w:tc>
        <w:tc>
          <w:tcPr>
            <w:tcW w:type="dxa" w:w="3135"/>
          </w:tcPr>
          <w:p>
            <w:r>
              <w:t>Файл</w:t>
            </w:r>
          </w:p>
        </w:tc>
        <w:tc>
          <w:tcPr>
            <w:tcW w:type="dxa" w:w="3135"/>
          </w:tcPr>
          <w:p>
            <w:r>
              <w:t>Описание</w:t>
            </w:r>
          </w:p>
        </w:tc>
      </w:tr>
      <w:tr>
        <w:tc>
          <w:tcPr>
            <w:tcW w:type="dxa" w:w="3135"/>
          </w:tcPr>
          <w:p>
            <w:r>
              <w:t>1</w:t>
            </w:r>
          </w:p>
        </w:tc>
        <w:tc>
          <w:tcPr>
            <w:tcW w:type="dxa" w:w="3135"/>
          </w:tcPr>
          <w:p>
            <w:r>
              <w:t>image_analysis_panels.png</w:t>
            </w:r>
          </w:p>
        </w:tc>
        <w:tc>
          <w:tcPr>
            <w:tcW w:type="dxa" w:w="3135"/>
          </w:tcPr>
          <w:p>
            <w:r>
              <w:t>Панели анализа МРТ (FFT, Laplacian, Edges)</w:t>
            </w:r>
          </w:p>
        </w:tc>
      </w:tr>
      <w:tr>
        <w:tc>
          <w:tcPr>
            <w:tcW w:type="dxa" w:w="3135"/>
          </w:tcPr>
          <w:p>
            <w:r>
              <w:t>2</w:t>
            </w:r>
          </w:p>
        </w:tc>
        <w:tc>
          <w:tcPr>
            <w:tcW w:type="dxa" w:w="3135"/>
          </w:tcPr>
          <w:p>
            <w:r>
              <w:t>sample_grid_kl_grades.png</w:t>
            </w:r>
          </w:p>
        </w:tc>
        <w:tc>
          <w:tcPr>
            <w:tcW w:type="dxa" w:w="3135"/>
          </w:tcPr>
          <w:p>
            <w:r>
              <w:t>Примеры снимков KL-0 — KL-4</w:t>
            </w:r>
          </w:p>
        </w:tc>
      </w:tr>
      <w:tr>
        <w:tc>
          <w:tcPr>
            <w:tcW w:type="dxa" w:w="3135"/>
          </w:tcPr>
          <w:p>
            <w:r>
              <w:t>3</w:t>
            </w:r>
          </w:p>
        </w:tc>
        <w:tc>
          <w:tcPr>
            <w:tcW w:type="dxa" w:w="3135"/>
          </w:tcPr>
          <w:p>
            <w:r>
              <w:t>class_distribution.png</w:t>
            </w:r>
          </w:p>
        </w:tc>
        <w:tc>
          <w:tcPr>
            <w:tcW w:type="dxa" w:w="3135"/>
          </w:tcPr>
          <w:p>
            <w:r>
              <w:t>Распределение классов (Total + splits)</w:t>
            </w:r>
          </w:p>
        </w:tc>
      </w:tr>
      <w:tr>
        <w:tc>
          <w:tcPr>
            <w:tcW w:type="dxa" w:w="3135"/>
          </w:tcPr>
          <w:p>
            <w:r>
              <w:t>4</w:t>
            </w:r>
          </w:p>
        </w:tc>
        <w:tc>
          <w:tcPr>
            <w:tcW w:type="dxa" w:w="3135"/>
          </w:tcPr>
          <w:p>
            <w:r>
              <w:t>split_table.png</w:t>
            </w:r>
          </w:p>
        </w:tc>
        <w:tc>
          <w:tcPr>
            <w:tcW w:type="dxa" w:w="3135"/>
          </w:tcPr>
          <w:p>
            <w:r>
              <w:t>Таблица распределения по сплитам</w:t>
            </w:r>
          </w:p>
        </w:tc>
      </w:tr>
      <w:tr>
        <w:tc>
          <w:tcPr>
            <w:tcW w:type="dxa" w:w="3135"/>
          </w:tcPr>
          <w:p>
            <w:r>
              <w:t>5</w:t>
            </w:r>
          </w:p>
        </w:tc>
        <w:tc>
          <w:tcPr>
            <w:tcW w:type="dxa" w:w="3135"/>
          </w:tcPr>
          <w:p>
            <w:r>
              <w:t>distribution_edge_density.png</w:t>
            </w:r>
          </w:p>
        </w:tc>
        <w:tc>
          <w:tcPr>
            <w:tcW w:type="dxa" w:w="3135"/>
          </w:tcPr>
          <w:p>
            <w:r>
              <w:t>KDE + Boxplot: edge_density</w:t>
            </w:r>
          </w:p>
        </w:tc>
      </w:tr>
      <w:tr>
        <w:tc>
          <w:tcPr>
            <w:tcW w:type="dxa" w:w="3135"/>
          </w:tcPr>
          <w:p>
            <w:r>
              <w:t>6</w:t>
            </w:r>
          </w:p>
        </w:tc>
        <w:tc>
          <w:tcPr>
            <w:tcW w:type="dxa" w:w="3135"/>
          </w:tcPr>
          <w:p>
            <w:r>
              <w:t>distribution_laplacian_var.png</w:t>
            </w:r>
          </w:p>
        </w:tc>
        <w:tc>
          <w:tcPr>
            <w:tcW w:type="dxa" w:w="3135"/>
          </w:tcPr>
          <w:p>
            <w:r>
              <w:t>KDE + Boxplot: laplacian_var</w:t>
            </w:r>
          </w:p>
        </w:tc>
      </w:tr>
      <w:tr>
        <w:tc>
          <w:tcPr>
            <w:tcW w:type="dxa" w:w="3135"/>
          </w:tcPr>
          <w:p>
            <w:r>
              <w:t>7</w:t>
            </w:r>
          </w:p>
        </w:tc>
        <w:tc>
          <w:tcPr>
            <w:tcW w:type="dxa" w:w="3135"/>
          </w:tcPr>
          <w:p>
            <w:r>
              <w:t>correlation_matrix.png</w:t>
            </w:r>
          </w:p>
        </w:tc>
        <w:tc>
          <w:tcPr>
            <w:tcW w:type="dxa" w:w="3135"/>
          </w:tcPr>
          <w:p>
            <w:r>
              <w:t>Матрица корреляций</w:t>
            </w:r>
          </w:p>
        </w:tc>
      </w:tr>
      <w:tr>
        <w:tc>
          <w:tcPr>
            <w:tcW w:type="dxa" w:w="3135"/>
          </w:tcPr>
          <w:p>
            <w:r>
              <w:t>8</w:t>
            </w:r>
          </w:p>
        </w:tc>
        <w:tc>
          <w:tcPr>
            <w:tcW w:type="dxa" w:w="3135"/>
          </w:tcPr>
          <w:p>
            <w:r>
              <w:t>pca_projection.png</w:t>
            </w:r>
          </w:p>
        </w:tc>
        <w:tc>
          <w:tcPr>
            <w:tcW w:type="dxa" w:w="3135"/>
          </w:tcPr>
          <w:p>
            <w:r>
              <w:t>PCA-проекция (2D)</w:t>
            </w:r>
          </w:p>
        </w:tc>
      </w:tr>
      <w:tr>
        <w:tc>
          <w:tcPr>
            <w:tcW w:type="dxa" w:w="3135"/>
          </w:tcPr>
          <w:p>
            <w:r>
              <w:t>9</w:t>
            </w:r>
          </w:p>
        </w:tc>
        <w:tc>
          <w:tcPr>
            <w:tcW w:type="dxa" w:w="3135"/>
          </w:tcPr>
          <w:p>
            <w:r>
              <w:t>confusion_matrices.png</w:t>
            </w:r>
          </w:p>
        </w:tc>
        <w:tc>
          <w:tcPr>
            <w:tcW w:type="dxa" w:w="3135"/>
          </w:tcPr>
          <w:p>
            <w:r>
              <w:t>Confusion Matrices (LR vs RF)</w:t>
            </w:r>
          </w:p>
        </w:tc>
      </w:tr>
      <w:tr>
        <w:tc>
          <w:tcPr>
            <w:tcW w:type="dxa" w:w="3135"/>
          </w:tcPr>
          <w:p>
            <w:r>
              <w:t>10</w:t>
            </w:r>
          </w:p>
        </w:tc>
        <w:tc>
          <w:tcPr>
            <w:tcW w:type="dxa" w:w="3135"/>
          </w:tcPr>
          <w:p>
            <w:r>
              <w:t>roc_curves.png</w:t>
            </w:r>
          </w:p>
        </w:tc>
        <w:tc>
          <w:tcPr>
            <w:tcW w:type="dxa" w:w="3135"/>
          </w:tcPr>
          <w:p>
            <w:r>
              <w:t>ROC-кривые</w:t>
            </w:r>
          </w:p>
        </w:tc>
      </w:tr>
      <w:tr>
        <w:tc>
          <w:tcPr>
            <w:tcW w:type="dxa" w:w="3135"/>
          </w:tcPr>
          <w:p>
            <w:r>
              <w:t>11</w:t>
            </w:r>
          </w:p>
        </w:tc>
        <w:tc>
          <w:tcPr>
            <w:tcW w:type="dxa" w:w="3135"/>
          </w:tcPr>
          <w:p>
            <w:r>
              <w:t>feature_importance.png</w:t>
            </w:r>
          </w:p>
        </w:tc>
        <w:tc>
          <w:tcPr>
            <w:tcW w:type="dxa" w:w="3135"/>
          </w:tcPr>
          <w:p>
            <w:r>
              <w:t>Feature Importance (Random Forest)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  <w:rFonts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