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D391" w14:textId="70684B55" w:rsidR="00EF07AB" w:rsidRPr="00FE3C32" w:rsidRDefault="00EF07AB" w:rsidP="00FE3C32">
      <w:pPr>
        <w:spacing w:after="0" w:line="480" w:lineRule="auto"/>
        <w:jc w:val="center"/>
        <w:rPr>
          <w:rFonts w:ascii="Times New Roman" w:hAnsi="Times New Roman" w:cs="Times New Roman"/>
          <w:b/>
          <w:bCs/>
          <w:lang w:val="en-US"/>
        </w:rPr>
      </w:pPr>
      <w:r w:rsidRPr="00FE3C32">
        <w:rPr>
          <w:rFonts w:ascii="Times New Roman" w:hAnsi="Times New Roman" w:cs="Times New Roman"/>
          <w:b/>
          <w:bCs/>
          <w:lang w:val="en-US"/>
        </w:rPr>
        <w:t>Discussion Assignment Unit 3</w:t>
      </w:r>
    </w:p>
    <w:p w14:paraId="60ADDE24" w14:textId="7F9EBA8E" w:rsidR="003F0BA6" w:rsidRPr="00FE3C32" w:rsidRDefault="003F0BA6" w:rsidP="00FE3C32">
      <w:pPr>
        <w:pStyle w:val="NormalWeb"/>
        <w:spacing w:before="0" w:beforeAutospacing="0" w:after="0" w:afterAutospacing="0" w:line="480" w:lineRule="auto"/>
        <w:rPr>
          <w:b/>
          <w:bCs/>
        </w:rPr>
      </w:pPr>
      <w:r w:rsidRPr="00FE3C32">
        <w:rPr>
          <w:b/>
          <w:bCs/>
        </w:rPr>
        <w:t xml:space="preserve">1. </w:t>
      </w:r>
      <w:r w:rsidRPr="00FE3C32">
        <w:rPr>
          <w:b/>
          <w:bCs/>
        </w:rPr>
        <w:t>Explain how critical sections, semaphores, and mutexes can be applied to ensure proper synchronization in this banking system scenario.</w:t>
      </w:r>
    </w:p>
    <w:p w14:paraId="48AB59B4" w14:textId="7FAE66E2" w:rsidR="003559CD" w:rsidRPr="00FE3C32" w:rsidRDefault="003559CD" w:rsidP="00FE3C32">
      <w:pPr>
        <w:spacing w:after="0" w:line="480" w:lineRule="auto"/>
        <w:rPr>
          <w:rFonts w:ascii="Times New Roman" w:hAnsi="Times New Roman" w:cs="Times New Roman"/>
          <w:b/>
          <w:bCs/>
          <w:lang w:val="en-US"/>
        </w:rPr>
      </w:pPr>
      <w:r w:rsidRPr="00FE3C32">
        <w:rPr>
          <w:rFonts w:ascii="Times New Roman" w:hAnsi="Times New Roman" w:cs="Times New Roman"/>
          <w:b/>
          <w:bCs/>
          <w:lang w:val="en-US"/>
        </w:rPr>
        <w:t xml:space="preserve">Critical </w:t>
      </w:r>
      <w:r w:rsidRPr="00FE3C32">
        <w:rPr>
          <w:rFonts w:ascii="Times New Roman" w:hAnsi="Times New Roman" w:cs="Times New Roman"/>
          <w:b/>
          <w:bCs/>
          <w:lang w:val="en-US"/>
        </w:rPr>
        <w:t>s</w:t>
      </w:r>
      <w:r w:rsidRPr="00FE3C32">
        <w:rPr>
          <w:rFonts w:ascii="Times New Roman" w:hAnsi="Times New Roman" w:cs="Times New Roman"/>
          <w:b/>
          <w:bCs/>
          <w:lang w:val="en-US"/>
        </w:rPr>
        <w:t>ections</w:t>
      </w:r>
    </w:p>
    <w:p w14:paraId="560F28C5" w14:textId="4333B98F" w:rsidR="003559CD" w:rsidRPr="00FE3C32" w:rsidRDefault="003559CD" w:rsidP="00FE3C32">
      <w:pPr>
        <w:spacing w:after="0" w:line="480" w:lineRule="auto"/>
        <w:rPr>
          <w:rFonts w:ascii="Times New Roman" w:hAnsi="Times New Roman" w:cs="Times New Roman"/>
          <w:lang w:val="en-US"/>
        </w:rPr>
      </w:pPr>
      <w:r w:rsidRPr="00FE3C32">
        <w:rPr>
          <w:rFonts w:ascii="Times New Roman" w:hAnsi="Times New Roman" w:cs="Times New Roman"/>
          <w:lang w:val="en-US"/>
        </w:rPr>
        <w:t xml:space="preserve">In a shared banking system, critical sections are the parts of </w:t>
      </w:r>
      <w:r w:rsidRPr="00FE3C32">
        <w:rPr>
          <w:rFonts w:ascii="Times New Roman" w:hAnsi="Times New Roman" w:cs="Times New Roman"/>
          <w:lang w:val="en-US"/>
        </w:rPr>
        <w:t xml:space="preserve">the </w:t>
      </w:r>
      <w:r w:rsidRPr="00FE3C32">
        <w:rPr>
          <w:rFonts w:ascii="Times New Roman" w:hAnsi="Times New Roman" w:cs="Times New Roman"/>
          <w:lang w:val="en-US"/>
        </w:rPr>
        <w:t>program code that manage access to shared resources</w:t>
      </w:r>
      <w:r w:rsidR="003F0BA6" w:rsidRPr="00FE3C32">
        <w:rPr>
          <w:rFonts w:ascii="Times New Roman" w:hAnsi="Times New Roman" w:cs="Times New Roman"/>
          <w:lang w:val="en-US"/>
        </w:rPr>
        <w:t xml:space="preserve"> (</w:t>
      </w:r>
      <w:r w:rsidR="003F0BA6" w:rsidRPr="00FE3C32">
        <w:rPr>
          <w:rFonts w:ascii="Times New Roman" w:hAnsi="Times New Roman" w:cs="Times New Roman"/>
        </w:rPr>
        <w:t>Silberschatz</w:t>
      </w:r>
      <w:r w:rsidR="003F0BA6" w:rsidRPr="00FE3C32">
        <w:rPr>
          <w:rFonts w:ascii="Times New Roman" w:hAnsi="Times New Roman" w:cs="Times New Roman"/>
        </w:rPr>
        <w:t xml:space="preserve"> et al., 2013)</w:t>
      </w:r>
      <w:r w:rsidRPr="00FE3C32">
        <w:rPr>
          <w:rFonts w:ascii="Times New Roman" w:hAnsi="Times New Roman" w:cs="Times New Roman"/>
          <w:lang w:val="en-US"/>
        </w:rPr>
        <w:t xml:space="preserve">, specifically the account balances </w:t>
      </w:r>
      <w:proofErr w:type="gramStart"/>
      <w:r w:rsidR="00FE3C32" w:rsidRPr="00FE3C32">
        <w:rPr>
          <w:rFonts w:ascii="Times New Roman" w:hAnsi="Times New Roman" w:cs="Times New Roman"/>
          <w:lang w:val="en-US"/>
        </w:rPr>
        <w:t>th</w:t>
      </w:r>
      <w:r w:rsidR="00FE3C32">
        <w:rPr>
          <w:rFonts w:ascii="Times New Roman" w:hAnsi="Times New Roman" w:cs="Times New Roman"/>
          <w:lang w:val="en-US"/>
        </w:rPr>
        <w:t>at</w:t>
      </w:r>
      <w:r w:rsidR="00FE3C32" w:rsidRPr="00FE3C32">
        <w:rPr>
          <w:rFonts w:ascii="Times New Roman" w:hAnsi="Times New Roman" w:cs="Times New Roman"/>
          <w:lang w:val="en-US"/>
        </w:rPr>
        <w:t xml:space="preserve"> multiple transactions</w:t>
      </w:r>
      <w:proofErr w:type="gramEnd"/>
      <w:r w:rsidRPr="00FE3C32">
        <w:rPr>
          <w:rFonts w:ascii="Times New Roman" w:hAnsi="Times New Roman" w:cs="Times New Roman"/>
          <w:lang w:val="en-US"/>
        </w:rPr>
        <w:t xml:space="preserve"> attempt to modify. When several users submit transactions, such as deposits or withdrawals</w:t>
      </w:r>
      <w:r w:rsidRPr="00FE3C32">
        <w:rPr>
          <w:rFonts w:ascii="Times New Roman" w:hAnsi="Times New Roman" w:cs="Times New Roman"/>
          <w:lang w:val="en-US"/>
        </w:rPr>
        <w:t>,</w:t>
      </w:r>
      <w:r w:rsidRPr="00FE3C32">
        <w:rPr>
          <w:rFonts w:ascii="Times New Roman" w:hAnsi="Times New Roman" w:cs="Times New Roman"/>
          <w:lang w:val="en-US"/>
        </w:rPr>
        <w:t xml:space="preserve"> to the same account, there is a high risk of data inconsistencies if they occur simultaneously. To prevent this issue, the system defines critical sections around the code that alters these account balances. By enforcing that only one transaction can operate within a critical section at a time, the system ensures that changes made by one user do not interfere with those of another. This method secures the integrity of the account data and guarantees accurate financial records, as it makes sure that every transaction is completed before another begins, thus maintaining order in transaction processing.</w:t>
      </w:r>
    </w:p>
    <w:p w14:paraId="1E9C0049" w14:textId="27BD2F63" w:rsidR="003559CD" w:rsidRPr="00FE3C32" w:rsidRDefault="003559CD" w:rsidP="00FE3C32">
      <w:pPr>
        <w:spacing w:after="0" w:line="480" w:lineRule="auto"/>
        <w:rPr>
          <w:rFonts w:ascii="Times New Roman" w:hAnsi="Times New Roman" w:cs="Times New Roman"/>
          <w:b/>
          <w:bCs/>
          <w:lang w:val="en-US"/>
        </w:rPr>
      </w:pPr>
      <w:r w:rsidRPr="00FE3C32">
        <w:rPr>
          <w:rFonts w:ascii="Times New Roman" w:hAnsi="Times New Roman" w:cs="Times New Roman"/>
          <w:b/>
          <w:bCs/>
          <w:lang w:val="en-US"/>
        </w:rPr>
        <w:t>Semaphores</w:t>
      </w:r>
    </w:p>
    <w:p w14:paraId="29FE593B" w14:textId="6DFEDB08" w:rsidR="003559CD" w:rsidRPr="00FE3C32" w:rsidRDefault="003559CD" w:rsidP="00FE3C32">
      <w:pPr>
        <w:spacing w:after="0" w:line="480" w:lineRule="auto"/>
        <w:rPr>
          <w:rFonts w:ascii="Times New Roman" w:hAnsi="Times New Roman" w:cs="Times New Roman"/>
          <w:lang w:val="en-US"/>
        </w:rPr>
      </w:pPr>
      <w:r w:rsidRPr="00FE3C32">
        <w:rPr>
          <w:rFonts w:ascii="Times New Roman" w:hAnsi="Times New Roman" w:cs="Times New Roman"/>
          <w:lang w:val="en-US"/>
        </w:rPr>
        <w:t>Semaphores are essential tools in managing access to shared resources</w:t>
      </w:r>
      <w:r w:rsidR="003F0BA6" w:rsidRPr="00FE3C32">
        <w:rPr>
          <w:rFonts w:ascii="Times New Roman" w:hAnsi="Times New Roman" w:cs="Times New Roman"/>
          <w:lang w:val="en-US"/>
        </w:rPr>
        <w:t xml:space="preserve"> </w:t>
      </w:r>
      <w:r w:rsidR="003F0BA6" w:rsidRPr="00FE3C32">
        <w:rPr>
          <w:rFonts w:ascii="Times New Roman" w:hAnsi="Times New Roman" w:cs="Times New Roman"/>
          <w:lang w:val="en-US"/>
        </w:rPr>
        <w:t>(</w:t>
      </w:r>
      <w:r w:rsidR="003F0BA6" w:rsidRPr="00FE3C32">
        <w:rPr>
          <w:rFonts w:ascii="Times New Roman" w:hAnsi="Times New Roman" w:cs="Times New Roman"/>
        </w:rPr>
        <w:t>Silberschatz et al., 2013)</w:t>
      </w:r>
      <w:r w:rsidR="003F0BA6" w:rsidRPr="00FE3C32">
        <w:rPr>
          <w:rFonts w:ascii="Times New Roman" w:hAnsi="Times New Roman" w:cs="Times New Roman"/>
        </w:rPr>
        <w:t>,</w:t>
      </w:r>
      <w:r w:rsidR="003F0BA6" w:rsidRPr="00FE3C32">
        <w:rPr>
          <w:rFonts w:ascii="Times New Roman" w:hAnsi="Times New Roman" w:cs="Times New Roman"/>
          <w:lang w:val="en-US"/>
        </w:rPr>
        <w:t xml:space="preserve"> such as in a</w:t>
      </w:r>
      <w:r w:rsidRPr="00FE3C32">
        <w:rPr>
          <w:rFonts w:ascii="Times New Roman" w:hAnsi="Times New Roman" w:cs="Times New Roman"/>
          <w:lang w:val="en-US"/>
        </w:rPr>
        <w:t xml:space="preserve"> banking system, where multiple transactions can occur concurrently. They serve as signals that help coordinate the activities of transactions when they seek to access the same account balance. For instance, before a transaction can modify an account, it checks the value of a semaphore associated with that account. If the semaphore indicates that the account is currently being accessed, the transaction must wait until it becomes available. Once the transaction is completed, the semaphore is updated to signal that the account can now be accessed by other transactions</w:t>
      </w:r>
      <w:r w:rsidR="003F0BA6" w:rsidRPr="00FE3C32">
        <w:rPr>
          <w:rFonts w:ascii="Times New Roman" w:hAnsi="Times New Roman" w:cs="Times New Roman"/>
          <w:lang w:val="en-US"/>
        </w:rPr>
        <w:t xml:space="preserve"> </w:t>
      </w:r>
      <w:r w:rsidR="003F0BA6" w:rsidRPr="00FE3C32">
        <w:rPr>
          <w:rFonts w:ascii="Times New Roman" w:hAnsi="Times New Roman" w:cs="Times New Roman"/>
          <w:lang w:val="en-US"/>
        </w:rPr>
        <w:t>(</w:t>
      </w:r>
      <w:r w:rsidR="003F0BA6" w:rsidRPr="00FE3C32">
        <w:rPr>
          <w:rFonts w:ascii="Times New Roman" w:hAnsi="Times New Roman" w:cs="Times New Roman"/>
        </w:rPr>
        <w:t>Silberschatz et al., 2013)</w:t>
      </w:r>
      <w:r w:rsidRPr="00FE3C32">
        <w:rPr>
          <w:rFonts w:ascii="Times New Roman" w:hAnsi="Times New Roman" w:cs="Times New Roman"/>
          <w:lang w:val="en-US"/>
        </w:rPr>
        <w:t xml:space="preserve">. By using semaphores, the banking system effectively </w:t>
      </w:r>
      <w:r w:rsidRPr="00FE3C32">
        <w:rPr>
          <w:rFonts w:ascii="Times New Roman" w:hAnsi="Times New Roman" w:cs="Times New Roman"/>
          <w:lang w:val="en-US"/>
        </w:rPr>
        <w:lastRenderedPageBreak/>
        <w:t>organizes transaction requests and ensures that no two transactions simultaneously alter the same account balance, significantly reducing the risk of errors or corruption in financial data.</w:t>
      </w:r>
    </w:p>
    <w:p w14:paraId="1DB203F4" w14:textId="2BE0F7DF" w:rsidR="003559CD" w:rsidRPr="00FE3C32" w:rsidRDefault="003559CD" w:rsidP="00FE3C32">
      <w:pPr>
        <w:spacing w:after="0" w:line="480" w:lineRule="auto"/>
        <w:rPr>
          <w:rFonts w:ascii="Times New Roman" w:hAnsi="Times New Roman" w:cs="Times New Roman"/>
          <w:b/>
          <w:bCs/>
          <w:lang w:val="en-US"/>
        </w:rPr>
      </w:pPr>
      <w:r w:rsidRPr="00FE3C32">
        <w:rPr>
          <w:rFonts w:ascii="Times New Roman" w:hAnsi="Times New Roman" w:cs="Times New Roman"/>
          <w:b/>
          <w:bCs/>
          <w:lang w:val="en-US"/>
        </w:rPr>
        <w:t>Mutexes</w:t>
      </w:r>
    </w:p>
    <w:p w14:paraId="6382D222" w14:textId="0B0CE32C" w:rsidR="003559CD" w:rsidRPr="00FE3C32" w:rsidRDefault="003559CD" w:rsidP="00FE3C32">
      <w:pPr>
        <w:spacing w:after="0" w:line="480" w:lineRule="auto"/>
        <w:rPr>
          <w:rFonts w:ascii="Times New Roman" w:hAnsi="Times New Roman" w:cs="Times New Roman"/>
          <w:lang w:val="en-US"/>
        </w:rPr>
      </w:pPr>
      <w:r w:rsidRPr="00FE3C32">
        <w:rPr>
          <w:rFonts w:ascii="Times New Roman" w:hAnsi="Times New Roman" w:cs="Times New Roman"/>
          <w:lang w:val="en-US"/>
        </w:rPr>
        <w:t xml:space="preserve">Mutexes, short for mutual exclusions, are crucial for maintaining synchronized access to shared resources </w:t>
      </w:r>
      <w:r w:rsidR="003F0BA6" w:rsidRPr="00FE3C32">
        <w:rPr>
          <w:rFonts w:ascii="Times New Roman" w:hAnsi="Times New Roman" w:cs="Times New Roman"/>
          <w:lang w:val="en-US"/>
        </w:rPr>
        <w:t>(</w:t>
      </w:r>
      <w:r w:rsidR="003F0BA6" w:rsidRPr="00FE3C32">
        <w:rPr>
          <w:rFonts w:ascii="Times New Roman" w:hAnsi="Times New Roman" w:cs="Times New Roman"/>
        </w:rPr>
        <w:t>Silberschatz et al., 2013)</w:t>
      </w:r>
      <w:r w:rsidR="003F0BA6" w:rsidRPr="00FE3C32">
        <w:rPr>
          <w:rFonts w:ascii="Times New Roman" w:hAnsi="Times New Roman" w:cs="Times New Roman"/>
          <w:lang w:val="en-US"/>
        </w:rPr>
        <w:t xml:space="preserve">, </w:t>
      </w:r>
      <w:r w:rsidR="003F0BA6" w:rsidRPr="00FE3C32">
        <w:rPr>
          <w:rFonts w:ascii="Times New Roman" w:hAnsi="Times New Roman" w:cs="Times New Roman"/>
          <w:lang w:val="en-US"/>
        </w:rPr>
        <w:t xml:space="preserve">such as </w:t>
      </w:r>
      <w:r w:rsidRPr="00FE3C32">
        <w:rPr>
          <w:rFonts w:ascii="Times New Roman" w:hAnsi="Times New Roman" w:cs="Times New Roman"/>
          <w:lang w:val="en-US"/>
        </w:rPr>
        <w:t>in a banking system. They act as locks that ensure only one transaction can modify an account balance at any given time. When a user wants to conduct a transaction, they first acquire the mutex associated with the account in question. This action effectively prevents other transactions from entering the same section of code until the current transaction has completed and the mutex is released</w:t>
      </w:r>
      <w:r w:rsidR="003F0BA6" w:rsidRPr="00FE3C32">
        <w:rPr>
          <w:rFonts w:ascii="Times New Roman" w:hAnsi="Times New Roman" w:cs="Times New Roman"/>
          <w:lang w:val="en-US"/>
        </w:rPr>
        <w:t xml:space="preserve"> </w:t>
      </w:r>
      <w:r w:rsidR="003F0BA6" w:rsidRPr="00FE3C32">
        <w:rPr>
          <w:rFonts w:ascii="Times New Roman" w:hAnsi="Times New Roman" w:cs="Times New Roman"/>
          <w:lang w:val="en-US"/>
        </w:rPr>
        <w:t>(</w:t>
      </w:r>
      <w:r w:rsidR="003F0BA6" w:rsidRPr="00FE3C32">
        <w:rPr>
          <w:rFonts w:ascii="Times New Roman" w:hAnsi="Times New Roman" w:cs="Times New Roman"/>
        </w:rPr>
        <w:t>Silberschatz et al., 2013)</w:t>
      </w:r>
      <w:r w:rsidRPr="00FE3C32">
        <w:rPr>
          <w:rFonts w:ascii="Times New Roman" w:hAnsi="Times New Roman" w:cs="Times New Roman"/>
          <w:lang w:val="en-US"/>
        </w:rPr>
        <w:t>. By requiring that only one transaction can hold the mutex, the system protects the integrity of the account data from potential conflicts during updates. This approach not only enhances data security but also simplifies the transaction management process, as it provides a clear rule for access that helps to avoid inconsistencies and ensures that all transactions are processed in a reliable and orderly manner.</w:t>
      </w:r>
    </w:p>
    <w:p w14:paraId="566F5A28" w14:textId="6C111BA0" w:rsidR="00FE3C32" w:rsidRPr="00FE3C32" w:rsidRDefault="00FE3C32" w:rsidP="00FE3C32">
      <w:pPr>
        <w:pStyle w:val="NormalWeb"/>
        <w:spacing w:before="0" w:beforeAutospacing="0" w:after="0" w:afterAutospacing="0" w:line="480" w:lineRule="auto"/>
        <w:rPr>
          <w:b/>
          <w:bCs/>
        </w:rPr>
      </w:pPr>
      <w:r w:rsidRPr="00FE3C32">
        <w:rPr>
          <w:b/>
          <w:bCs/>
        </w:rPr>
        <w:t xml:space="preserve">2. </w:t>
      </w:r>
      <w:r w:rsidRPr="00FE3C32">
        <w:rPr>
          <w:b/>
          <w:bCs/>
        </w:rPr>
        <w:t>What impact do synchronization mechanism failures have on system consistency and reliability? Explain with suitable examples.</w:t>
      </w:r>
    </w:p>
    <w:p w14:paraId="6F15CBB9" w14:textId="5F566FE6" w:rsidR="00FE3C32" w:rsidRPr="00FE3C32" w:rsidRDefault="00FE3C32" w:rsidP="00FE3C32">
      <w:pPr>
        <w:spacing w:after="0" w:line="480" w:lineRule="auto"/>
        <w:rPr>
          <w:rFonts w:ascii="Times New Roman" w:hAnsi="Times New Roman" w:cs="Times New Roman"/>
          <w:lang w:val="en-US"/>
        </w:rPr>
      </w:pPr>
      <w:r w:rsidRPr="00FE3C32">
        <w:rPr>
          <w:rFonts w:ascii="Times New Roman" w:hAnsi="Times New Roman" w:cs="Times New Roman"/>
          <w:lang w:val="en-US"/>
        </w:rPr>
        <w:t>Synchronization mechanism failures can significantly impact system consistency and reliability</w:t>
      </w:r>
      <w:r w:rsidRPr="00FE3C32">
        <w:rPr>
          <w:rFonts w:ascii="Times New Roman" w:hAnsi="Times New Roman" w:cs="Times New Roman"/>
          <w:lang w:val="en-US"/>
        </w:rPr>
        <w:t xml:space="preserve"> (</w:t>
      </w:r>
      <w:r w:rsidRPr="00FE3C32">
        <w:rPr>
          <w:rFonts w:ascii="Times New Roman" w:hAnsi="Times New Roman" w:cs="Times New Roman"/>
        </w:rPr>
        <w:t>Oehler, 2024</w:t>
      </w:r>
      <w:r w:rsidRPr="00FE3C32">
        <w:rPr>
          <w:rFonts w:ascii="Times New Roman" w:hAnsi="Times New Roman" w:cs="Times New Roman"/>
        </w:rPr>
        <w:t>)</w:t>
      </w:r>
      <w:r w:rsidRPr="00FE3C32">
        <w:rPr>
          <w:rFonts w:ascii="Times New Roman" w:hAnsi="Times New Roman" w:cs="Times New Roman"/>
          <w:lang w:val="en-US"/>
        </w:rPr>
        <w:t xml:space="preserve">, particularly in a shared banking system. When multiple users attempt to modify the same account balance without proper synchronization, it can lead to inconsistent data. For example, if two users simultaneously try to withdraw funds from the same account, both transactions might proceed without detecting the other's existence. This could result in an account balance dropping below zero or incorrect amounts being displayed, undermining trust in the system. </w:t>
      </w:r>
    </w:p>
    <w:p w14:paraId="4E11B71E" w14:textId="70AFDAE1" w:rsidR="003F0BA6" w:rsidRPr="00FE3C32" w:rsidRDefault="00FE3C32" w:rsidP="00FE3C32">
      <w:pPr>
        <w:spacing w:after="0" w:line="480" w:lineRule="auto"/>
        <w:rPr>
          <w:rFonts w:ascii="Times New Roman" w:hAnsi="Times New Roman" w:cs="Times New Roman"/>
          <w:lang w:val="en-US"/>
        </w:rPr>
      </w:pPr>
      <w:r w:rsidRPr="00FE3C32">
        <w:rPr>
          <w:rFonts w:ascii="Times New Roman" w:hAnsi="Times New Roman" w:cs="Times New Roman"/>
          <w:lang w:val="en-US"/>
        </w:rPr>
        <w:lastRenderedPageBreak/>
        <w:t>Additionally, if the system fails to implement critical sections properly, allowing simultaneous access to shared data, it can cause race conditions</w:t>
      </w:r>
      <w:r w:rsidRPr="00FE3C32">
        <w:rPr>
          <w:rFonts w:ascii="Times New Roman" w:hAnsi="Times New Roman" w:cs="Times New Roman"/>
          <w:lang w:val="en-US"/>
        </w:rPr>
        <w:t xml:space="preserve"> </w:t>
      </w:r>
      <w:r w:rsidRPr="00FE3C32">
        <w:rPr>
          <w:rFonts w:ascii="Times New Roman" w:hAnsi="Times New Roman" w:cs="Times New Roman"/>
          <w:lang w:val="en-US"/>
        </w:rPr>
        <w:t>(</w:t>
      </w:r>
      <w:r w:rsidRPr="00FE3C32">
        <w:rPr>
          <w:rFonts w:ascii="Times New Roman" w:hAnsi="Times New Roman" w:cs="Times New Roman"/>
        </w:rPr>
        <w:t>Oehler, 2024)</w:t>
      </w:r>
      <w:r w:rsidRPr="00FE3C32">
        <w:rPr>
          <w:rFonts w:ascii="Times New Roman" w:hAnsi="Times New Roman" w:cs="Times New Roman"/>
          <w:lang w:val="en-US"/>
        </w:rPr>
        <w:t>. This means that the final state of the account balance may depend on the unpredictable order of operations, further compromising accuracy and reliability. Thus, maintaining effective synchronization through mechanisms like semaphores and mutexes is essential to ensure that only one transaction modifies account balances at any time, preserving data integrity and user trust in the banking system.</w:t>
      </w:r>
    </w:p>
    <w:p w14:paraId="6D22247A" w14:textId="4DE4381E" w:rsidR="003F0BA6" w:rsidRPr="00FE3C32" w:rsidRDefault="003F0BA6" w:rsidP="00FE3C32">
      <w:pPr>
        <w:spacing w:after="0" w:line="480" w:lineRule="auto"/>
        <w:jc w:val="center"/>
        <w:rPr>
          <w:rFonts w:ascii="Times New Roman" w:hAnsi="Times New Roman" w:cs="Times New Roman"/>
          <w:b/>
          <w:bCs/>
          <w:lang w:val="en-US"/>
        </w:rPr>
      </w:pPr>
      <w:r w:rsidRPr="00FE3C32">
        <w:rPr>
          <w:rFonts w:ascii="Times New Roman" w:hAnsi="Times New Roman" w:cs="Times New Roman"/>
          <w:b/>
          <w:bCs/>
          <w:lang w:val="en-US"/>
        </w:rPr>
        <w:t>References</w:t>
      </w:r>
    </w:p>
    <w:p w14:paraId="76D926FF" w14:textId="77777777" w:rsidR="003F0BA6" w:rsidRPr="00FE3C32" w:rsidRDefault="003F0BA6" w:rsidP="00FE3C32">
      <w:pPr>
        <w:pStyle w:val="NormalWeb"/>
        <w:spacing w:before="0" w:beforeAutospacing="0" w:after="0" w:afterAutospacing="0" w:line="480" w:lineRule="auto"/>
      </w:pPr>
      <w:r w:rsidRPr="00FE3C32">
        <w:t xml:space="preserve">Silberschatz, A., Galvin, P., &amp; Gagne, G. (2013). </w:t>
      </w:r>
      <w:r w:rsidRPr="00FE3C32">
        <w:rPr>
          <w:i/>
          <w:iCs/>
        </w:rPr>
        <w:t>Operating system concepts essentials</w:t>
      </w:r>
      <w:r w:rsidRPr="00FE3C32">
        <w:t xml:space="preserve"> (2nd ed.). John Wiley &amp; Sons, Inc.</w:t>
      </w:r>
    </w:p>
    <w:p w14:paraId="10799B09" w14:textId="62BE8B7E" w:rsidR="00FE3C32" w:rsidRPr="00FE3C32" w:rsidRDefault="00FE3C32" w:rsidP="00FE3C32">
      <w:pPr>
        <w:pStyle w:val="NormalWeb"/>
        <w:spacing w:before="0" w:beforeAutospacing="0" w:after="0" w:afterAutospacing="0" w:line="480" w:lineRule="auto"/>
      </w:pPr>
      <w:r w:rsidRPr="00FE3C32">
        <w:t xml:space="preserve">Oehler, E. (2024, March 1). </w:t>
      </w:r>
      <w:r w:rsidRPr="00FE3C32">
        <w:rPr>
          <w:i/>
          <w:iCs/>
        </w:rPr>
        <w:t>The perils of poor time synchronization in distributed data systems.</w:t>
      </w:r>
      <w:r w:rsidRPr="00FE3C32">
        <w:t xml:space="preserve"> Safran - Navigation &amp; Timing. https://safran-navigation-timing.com/poor-time-synchronization-in-distributed-data-systems/</w:t>
      </w:r>
    </w:p>
    <w:p w14:paraId="74442F58" w14:textId="77777777" w:rsidR="003F0BA6" w:rsidRPr="00FE3C32" w:rsidRDefault="003F0BA6" w:rsidP="00FE3C32">
      <w:pPr>
        <w:spacing w:line="480" w:lineRule="auto"/>
        <w:rPr>
          <w:rFonts w:ascii="Times New Roman" w:hAnsi="Times New Roman" w:cs="Times New Roman"/>
          <w:lang w:val="en-US"/>
        </w:rPr>
      </w:pPr>
    </w:p>
    <w:p w14:paraId="21ADC95E" w14:textId="77777777" w:rsidR="00FE3C32" w:rsidRPr="00FE3C32" w:rsidRDefault="00FE3C32">
      <w:pPr>
        <w:spacing w:line="480" w:lineRule="auto"/>
        <w:rPr>
          <w:rFonts w:ascii="Times New Roman" w:hAnsi="Times New Roman" w:cs="Times New Roman"/>
          <w:lang w:val="en-US"/>
        </w:rPr>
      </w:pPr>
    </w:p>
    <w:sectPr w:rsidR="00FE3C32" w:rsidRPr="00FE3C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AB"/>
    <w:rsid w:val="00277336"/>
    <w:rsid w:val="003559CD"/>
    <w:rsid w:val="003F0BA6"/>
    <w:rsid w:val="00565D52"/>
    <w:rsid w:val="00EF07AB"/>
    <w:rsid w:val="00FE3C3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2CFD40D"/>
  <w15:chartTrackingRefBased/>
  <w15:docId w15:val="{F3019986-C1CC-8447-935F-B4145F20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7AB"/>
    <w:rPr>
      <w:rFonts w:eastAsiaTheme="majorEastAsia" w:cstheme="majorBidi"/>
      <w:color w:val="272727" w:themeColor="text1" w:themeTint="D8"/>
    </w:rPr>
  </w:style>
  <w:style w:type="paragraph" w:styleId="Title">
    <w:name w:val="Title"/>
    <w:basedOn w:val="Normal"/>
    <w:next w:val="Normal"/>
    <w:link w:val="TitleChar"/>
    <w:uiPriority w:val="10"/>
    <w:qFormat/>
    <w:rsid w:val="00EF0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7AB"/>
    <w:pPr>
      <w:spacing w:before="160"/>
      <w:jc w:val="center"/>
    </w:pPr>
    <w:rPr>
      <w:i/>
      <w:iCs/>
      <w:color w:val="404040" w:themeColor="text1" w:themeTint="BF"/>
    </w:rPr>
  </w:style>
  <w:style w:type="character" w:customStyle="1" w:styleId="QuoteChar">
    <w:name w:val="Quote Char"/>
    <w:basedOn w:val="DefaultParagraphFont"/>
    <w:link w:val="Quote"/>
    <w:uiPriority w:val="29"/>
    <w:rsid w:val="00EF07AB"/>
    <w:rPr>
      <w:i/>
      <w:iCs/>
      <w:color w:val="404040" w:themeColor="text1" w:themeTint="BF"/>
    </w:rPr>
  </w:style>
  <w:style w:type="paragraph" w:styleId="ListParagraph">
    <w:name w:val="List Paragraph"/>
    <w:basedOn w:val="Normal"/>
    <w:uiPriority w:val="34"/>
    <w:qFormat/>
    <w:rsid w:val="00EF07AB"/>
    <w:pPr>
      <w:ind w:left="720"/>
      <w:contextualSpacing/>
    </w:pPr>
  </w:style>
  <w:style w:type="character" w:styleId="IntenseEmphasis">
    <w:name w:val="Intense Emphasis"/>
    <w:basedOn w:val="DefaultParagraphFont"/>
    <w:uiPriority w:val="21"/>
    <w:qFormat/>
    <w:rsid w:val="00EF07AB"/>
    <w:rPr>
      <w:i/>
      <w:iCs/>
      <w:color w:val="0F4761" w:themeColor="accent1" w:themeShade="BF"/>
    </w:rPr>
  </w:style>
  <w:style w:type="paragraph" w:styleId="IntenseQuote">
    <w:name w:val="Intense Quote"/>
    <w:basedOn w:val="Normal"/>
    <w:next w:val="Normal"/>
    <w:link w:val="IntenseQuoteChar"/>
    <w:uiPriority w:val="30"/>
    <w:qFormat/>
    <w:rsid w:val="00EF0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7AB"/>
    <w:rPr>
      <w:i/>
      <w:iCs/>
      <w:color w:val="0F4761" w:themeColor="accent1" w:themeShade="BF"/>
    </w:rPr>
  </w:style>
  <w:style w:type="character" w:styleId="IntenseReference">
    <w:name w:val="Intense Reference"/>
    <w:basedOn w:val="DefaultParagraphFont"/>
    <w:uiPriority w:val="32"/>
    <w:qFormat/>
    <w:rsid w:val="00EF07AB"/>
    <w:rPr>
      <w:b/>
      <w:bCs/>
      <w:smallCaps/>
      <w:color w:val="0F4761" w:themeColor="accent1" w:themeShade="BF"/>
      <w:spacing w:val="5"/>
    </w:rPr>
  </w:style>
  <w:style w:type="paragraph" w:styleId="NormalWeb">
    <w:name w:val="Normal (Web)"/>
    <w:basedOn w:val="Normal"/>
    <w:uiPriority w:val="99"/>
    <w:unhideWhenUsed/>
    <w:rsid w:val="003F0B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071750">
      <w:bodyDiv w:val="1"/>
      <w:marLeft w:val="0"/>
      <w:marRight w:val="0"/>
      <w:marTop w:val="0"/>
      <w:marBottom w:val="0"/>
      <w:divBdr>
        <w:top w:val="none" w:sz="0" w:space="0" w:color="auto"/>
        <w:left w:val="none" w:sz="0" w:space="0" w:color="auto"/>
        <w:bottom w:val="none" w:sz="0" w:space="0" w:color="auto"/>
        <w:right w:val="none" w:sz="0" w:space="0" w:color="auto"/>
      </w:divBdr>
    </w:div>
    <w:div w:id="194079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2025-04-27T07:33:00Z</dcterms:created>
  <dcterms:modified xsi:type="dcterms:W3CDTF">2025-04-27T08:01:00Z</dcterms:modified>
</cp:coreProperties>
</file>