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5C2CEBD6" w14:textId="77777777" w:rsidR="008F0765" w:rsidRPr="0032096F" w:rsidRDefault="008F0765" w:rsidP="008F0765">
      <w:pPr>
        <w:pStyle w:val="Heading2"/>
        <w:spacing w:before="0" w:after="0"/>
        <w:ind w:left="0"/>
        <w:jc w:val="center"/>
        <w:rPr>
          <w:rFonts w:ascii="Times New Roman" w:hAnsi="Times New Roman" w:cs="Times New Roman"/>
          <w:color w:val="000000" w:themeColor="text1"/>
          <w:sz w:val="24"/>
          <w:szCs w:val="24"/>
        </w:rPr>
      </w:pPr>
      <w:r w:rsidRPr="008F0765">
        <w:rPr>
          <w:rStyle w:val="Strong"/>
          <w:rFonts w:ascii="Times New Roman" w:hAnsi="Times New Roman" w:cs="Times New Roman"/>
          <w:b w:val="0"/>
          <w:bCs w:val="0"/>
          <w:color w:val="000000" w:themeColor="text1"/>
          <w:sz w:val="24"/>
          <w:szCs w:val="24"/>
        </w:rPr>
        <w:t>The Renaissance and Shakespeare’s Contribution to the Movement</w:t>
      </w: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2CFCD2B8" w14:textId="77777777" w:rsidR="008F0765" w:rsidRDefault="008F0765" w:rsidP="00CA0B8E">
      <w:pPr>
        <w:pStyle w:val="NormalWeb"/>
        <w:jc w:val="center"/>
      </w:pPr>
      <w:r w:rsidRPr="008F0765">
        <w:t xml:space="preserve">ENGL 1405 </w:t>
      </w:r>
      <w:r>
        <w:t>:</w:t>
      </w:r>
      <w:r w:rsidRPr="008F0765">
        <w:t>World Literature</w:t>
      </w:r>
    </w:p>
    <w:p w14:paraId="37537BE0" w14:textId="77777777" w:rsidR="008F0765" w:rsidRDefault="008F0765" w:rsidP="008F0765">
      <w:pPr>
        <w:pStyle w:val="NormalWeb"/>
        <w:jc w:val="center"/>
      </w:pPr>
      <w:r>
        <w:t>Shanti Thatil</w:t>
      </w:r>
    </w:p>
    <w:p w14:paraId="5D3EA7F7" w14:textId="5F379281" w:rsidR="00302292" w:rsidRDefault="00CA0B8E"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February </w:t>
      </w:r>
      <w:r w:rsidR="008F0765">
        <w:rPr>
          <w:rFonts w:ascii="Times New Roman" w:hAnsi="Times New Roman" w:cs="Times New Roman"/>
          <w:sz w:val="24"/>
          <w:szCs w:val="24"/>
          <w:lang w:val="en-US"/>
        </w:rPr>
        <w:t>11</w:t>
      </w:r>
      <w:r>
        <w:rPr>
          <w:rFonts w:ascii="Times New Roman" w:hAnsi="Times New Roman" w:cs="Times New Roman"/>
          <w:sz w:val="24"/>
          <w:szCs w:val="24"/>
          <w:lang w:val="en-US"/>
        </w:rPr>
        <w:t>, 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3D7C8B9F" w14:textId="77777777" w:rsidR="00302292" w:rsidRDefault="00302292" w:rsidP="00302292">
      <w:pPr>
        <w:jc w:val="center"/>
        <w:rPr>
          <w:rFonts w:ascii="Times New Roman" w:hAnsi="Times New Roman" w:cs="Times New Roman"/>
          <w:sz w:val="24"/>
          <w:szCs w:val="24"/>
          <w:lang w:val="en-US"/>
        </w:rPr>
      </w:pPr>
    </w:p>
    <w:p w14:paraId="39820B5D" w14:textId="77777777" w:rsidR="00302292" w:rsidRDefault="00302292" w:rsidP="00302292">
      <w:pPr>
        <w:jc w:val="center"/>
        <w:rPr>
          <w:rFonts w:ascii="Times New Roman" w:hAnsi="Times New Roman" w:cs="Times New Roman"/>
          <w:sz w:val="24"/>
          <w:szCs w:val="24"/>
          <w:lang w:val="en-US"/>
        </w:rPr>
      </w:pPr>
    </w:p>
    <w:p w14:paraId="14ECAA7F" w14:textId="625191C5" w:rsidR="00785CC1" w:rsidRDefault="00785CC1" w:rsidP="00785CC1">
      <w:pPr>
        <w:spacing w:line="300" w:lineRule="atLeast"/>
        <w:ind w:left="0"/>
        <w:rPr>
          <w:rFonts w:ascii="Segoe UI" w:hAnsi="Segoe UI" w:cs="Segoe UI"/>
          <w:sz w:val="21"/>
          <w:szCs w:val="21"/>
        </w:rPr>
      </w:pPr>
    </w:p>
    <w:p w14:paraId="565582A2" w14:textId="77777777" w:rsidR="00785CC1" w:rsidRPr="0032096F" w:rsidRDefault="00785CC1" w:rsidP="0032096F">
      <w:pPr>
        <w:pStyle w:val="Heading2"/>
        <w:spacing w:before="0" w:after="0"/>
        <w:ind w:left="0"/>
        <w:jc w:val="center"/>
        <w:rPr>
          <w:rFonts w:ascii="Times New Roman" w:hAnsi="Times New Roman" w:cs="Times New Roman"/>
          <w:color w:val="000000" w:themeColor="text1"/>
          <w:sz w:val="24"/>
          <w:szCs w:val="24"/>
        </w:rPr>
      </w:pPr>
      <w:r w:rsidRPr="0032096F">
        <w:rPr>
          <w:rStyle w:val="Strong"/>
          <w:rFonts w:ascii="Times New Roman" w:hAnsi="Times New Roman" w:cs="Times New Roman"/>
          <w:color w:val="000000" w:themeColor="text1"/>
          <w:sz w:val="24"/>
          <w:szCs w:val="24"/>
        </w:rPr>
        <w:lastRenderedPageBreak/>
        <w:t>The Renaissance and Shakespeare’s Contribution to the Movement</w:t>
      </w:r>
    </w:p>
    <w:p w14:paraId="2981590B" w14:textId="7AF7DE02" w:rsidR="00785CC1" w:rsidRPr="0032096F" w:rsidRDefault="00785CC1" w:rsidP="008F0765">
      <w:pPr>
        <w:pStyle w:val="NormalWeb"/>
        <w:spacing w:before="0" w:beforeAutospacing="0" w:after="0" w:afterAutospacing="0" w:line="480" w:lineRule="auto"/>
        <w:ind w:firstLine="720"/>
        <w:rPr>
          <w:color w:val="000000" w:themeColor="text1"/>
        </w:rPr>
      </w:pPr>
      <w:r w:rsidRPr="0032096F">
        <w:rPr>
          <w:color w:val="000000" w:themeColor="text1"/>
        </w:rPr>
        <w:t xml:space="preserve">The Renaissance was a period of profound cultural, intellectual, and artistic transformation in Europe, traditionally dated from the late fifteenth to the early seventeenth century. </w:t>
      </w:r>
      <w:r w:rsidR="00655AC8" w:rsidRPr="0032096F">
        <w:rPr>
          <w:color w:val="000000" w:themeColor="text1"/>
        </w:rPr>
        <w:t>During this period, g</w:t>
      </w:r>
      <w:r w:rsidRPr="0032096F">
        <w:rPr>
          <w:color w:val="000000" w:themeColor="text1"/>
        </w:rPr>
        <w:t>eographical discoveries, such as Columbus’s arrival in North America and Balboa’s sighting of the Pacific Ocean contributed to a shift in European understanding of the world. These discoveries encouraged Europeans to question old assumptions and to reimagine both themselves and the world around them. As Getty et al. (2020) explain, the Renaissance was viewed by Europeans as a rebirth of classical Greek and Roman knowledge, accompanied by renewed curiosity, experimentation, and a willingness to challenge established norms. This worldview shaped literature in notable ways, as writers explored imaginative storytelling, political reflection, utopian visions, and the encounter between the familiar and the unfamiliar. Authors such as Rabelais, Cervantes, and More reflected the spirit of change, using literature to critique society, examine moral values, and imagine new possibilities for human life.</w:t>
      </w:r>
    </w:p>
    <w:p w14:paraId="6241CCD1" w14:textId="79480EF9" w:rsidR="00785CC1" w:rsidRPr="0032096F" w:rsidRDefault="00785CC1" w:rsidP="008F0765">
      <w:pPr>
        <w:pStyle w:val="NormalWeb"/>
        <w:spacing w:before="0" w:beforeAutospacing="0" w:after="0" w:afterAutospacing="0" w:line="480" w:lineRule="auto"/>
        <w:ind w:firstLine="720"/>
        <w:rPr>
          <w:color w:val="000000" w:themeColor="text1"/>
        </w:rPr>
      </w:pPr>
      <w:r w:rsidRPr="0032096F">
        <w:rPr>
          <w:color w:val="000000" w:themeColor="text1"/>
        </w:rPr>
        <w:t xml:space="preserve">The Renaissance also marked significant cultural changes in Europe. </w:t>
      </w:r>
      <w:r w:rsidR="00655AC8" w:rsidRPr="0032096F">
        <w:rPr>
          <w:color w:val="000000" w:themeColor="text1"/>
        </w:rPr>
        <w:t>The</w:t>
      </w:r>
      <w:r w:rsidRPr="0032096F">
        <w:rPr>
          <w:color w:val="000000" w:themeColor="text1"/>
        </w:rPr>
        <w:t xml:space="preserve"> printing press, rising literacy, and shifts in warfare and heroism</w:t>
      </w:r>
      <w:r w:rsidR="00655AC8" w:rsidRPr="0032096F">
        <w:rPr>
          <w:color w:val="000000" w:themeColor="text1"/>
        </w:rPr>
        <w:t xml:space="preserve"> </w:t>
      </w:r>
      <w:r w:rsidRPr="0032096F">
        <w:rPr>
          <w:color w:val="000000" w:themeColor="text1"/>
        </w:rPr>
        <w:t xml:space="preserve">contributed to a population that was increasingly exposed to new ideas through books and education. Getty et al. (2020) note that the printing press not only encouraged the spread of learning but also made it possible for Renaissance thinkers to share their works across great distances. Additionally, the period saw a fascination with classical texts and a desire to revive ancient forms of drama, poetry, and philosophy. The idea of the Renaissance man emerged during this time, celebrating individuals who pursued excellence in multiple fields of knowledge. Although the Renaissance was a European concept, the global effects of literacy and cultural exchange extended beyond European borders as oral traditions were recorded, preserved, and shared in </w:t>
      </w:r>
      <w:r w:rsidRPr="0032096F">
        <w:rPr>
          <w:color w:val="000000" w:themeColor="text1"/>
        </w:rPr>
        <w:lastRenderedPageBreak/>
        <w:t>new ways. This environment of intellectual expansion set the stage for the literary achievements of writers such as William Shakespeare.</w:t>
      </w:r>
    </w:p>
    <w:p w14:paraId="115B5541" w14:textId="7215A629" w:rsidR="00785CC1" w:rsidRPr="0032096F" w:rsidRDefault="00785CC1" w:rsidP="008F0765">
      <w:pPr>
        <w:pStyle w:val="NormalWeb"/>
        <w:spacing w:before="0" w:beforeAutospacing="0" w:after="0" w:afterAutospacing="0" w:line="480" w:lineRule="auto"/>
        <w:ind w:firstLine="720"/>
        <w:rPr>
          <w:color w:val="000000" w:themeColor="text1"/>
        </w:rPr>
      </w:pPr>
      <w:r w:rsidRPr="0032096F">
        <w:rPr>
          <w:color w:val="000000" w:themeColor="text1"/>
        </w:rPr>
        <w:t xml:space="preserve">William Shakespeare, one of the most influential authors of the Renaissance, reflects the spirit of the movement in both his themes and his artistic techniques. A key example from </w:t>
      </w:r>
      <w:r w:rsidR="00655AC8" w:rsidRPr="0032096F">
        <w:rPr>
          <w:color w:val="000000" w:themeColor="text1"/>
        </w:rPr>
        <w:t>his wotk</w:t>
      </w:r>
      <w:r w:rsidRPr="0032096F">
        <w:rPr>
          <w:color w:val="000000" w:themeColor="text1"/>
        </w:rPr>
        <w:t xml:space="preserve"> </w:t>
      </w:r>
      <w:r w:rsidRPr="0032096F">
        <w:rPr>
          <w:rStyle w:val="Emphasis"/>
          <w:rFonts w:eastAsiaTheme="majorEastAsia"/>
          <w:color w:val="000000" w:themeColor="text1"/>
        </w:rPr>
        <w:t>The Tempest</w:t>
      </w:r>
      <w:r w:rsidRPr="0032096F">
        <w:rPr>
          <w:color w:val="000000" w:themeColor="text1"/>
        </w:rPr>
        <w:t>, which engages directly with Renaissance concerns about exploration, political power, and encounters with the unknown</w:t>
      </w:r>
      <w:r w:rsidR="008F0765">
        <w:rPr>
          <w:color w:val="000000" w:themeColor="text1"/>
        </w:rPr>
        <w:t xml:space="preserve"> </w:t>
      </w:r>
      <w:r w:rsidR="008F0765">
        <w:rPr>
          <w:color w:val="000000" w:themeColor="text1"/>
        </w:rPr>
        <w:t>(</w:t>
      </w:r>
      <w:r w:rsidR="008F0765" w:rsidRPr="0032096F">
        <w:rPr>
          <w:color w:val="000000" w:themeColor="text1"/>
        </w:rPr>
        <w:t>Shakespeare</w:t>
      </w:r>
      <w:r w:rsidR="008F0765">
        <w:rPr>
          <w:color w:val="000000" w:themeColor="text1"/>
        </w:rPr>
        <w:t xml:space="preserve">, </w:t>
      </w:r>
      <w:r w:rsidR="008F0765" w:rsidRPr="0032096F">
        <w:rPr>
          <w:color w:val="000000" w:themeColor="text1"/>
        </w:rPr>
        <w:t>2015)</w:t>
      </w:r>
      <w:r w:rsidRPr="0032096F">
        <w:rPr>
          <w:color w:val="000000" w:themeColor="text1"/>
        </w:rPr>
        <w:t>. Shakespeare sets the play on a remote island that serves as a symbolic meeting ground between the old world of European authority and the new world characterized by unfamiliar landscapes and people. Prospero, the former Duke of Milan, represents the old world in his insistence on order, hierarchy, and educated control, while Caliban embodies the new world as a native inhabitant who resists colonization</w:t>
      </w:r>
      <w:r w:rsidR="008F0765">
        <w:rPr>
          <w:color w:val="000000" w:themeColor="text1"/>
        </w:rPr>
        <w:t xml:space="preserve"> (</w:t>
      </w:r>
      <w:r w:rsidR="008F0765" w:rsidRPr="0032096F">
        <w:rPr>
          <w:color w:val="000000" w:themeColor="text1"/>
        </w:rPr>
        <w:t>Shakespeare</w:t>
      </w:r>
      <w:r w:rsidR="008F0765">
        <w:rPr>
          <w:color w:val="000000" w:themeColor="text1"/>
        </w:rPr>
        <w:t xml:space="preserve">, </w:t>
      </w:r>
      <w:r w:rsidR="008F0765" w:rsidRPr="0032096F">
        <w:rPr>
          <w:color w:val="000000" w:themeColor="text1"/>
        </w:rPr>
        <w:t>2015)</w:t>
      </w:r>
      <w:r w:rsidRPr="0032096F">
        <w:rPr>
          <w:color w:val="000000" w:themeColor="text1"/>
        </w:rPr>
        <w:t>. Shakespeare’s depiction of their interactions reflects Renaissance debates about morality, colonialism, and human nature. As Shakespeare (2015) portrays in Caliban’s declaration that the island belongs to him by birth, the play raises important questions about power, ownership, and justice.</w:t>
      </w:r>
    </w:p>
    <w:p w14:paraId="77E26498" w14:textId="20140871" w:rsidR="00785CC1" w:rsidRPr="0032096F" w:rsidRDefault="00655AC8" w:rsidP="008F0765">
      <w:pPr>
        <w:pStyle w:val="NormalWeb"/>
        <w:spacing w:before="0" w:beforeAutospacing="0" w:after="0" w:afterAutospacing="0" w:line="480" w:lineRule="auto"/>
        <w:ind w:firstLine="720"/>
        <w:rPr>
          <w:color w:val="000000" w:themeColor="text1"/>
        </w:rPr>
      </w:pPr>
      <w:r w:rsidRPr="0032096F">
        <w:rPr>
          <w:color w:val="000000" w:themeColor="text1"/>
        </w:rPr>
        <w:t>In the play,</w:t>
      </w:r>
      <w:r w:rsidR="00785CC1" w:rsidRPr="0032096F">
        <w:rPr>
          <w:color w:val="000000" w:themeColor="text1"/>
        </w:rPr>
        <w:t xml:space="preserve"> the island in </w:t>
      </w:r>
      <w:r w:rsidR="00785CC1" w:rsidRPr="0032096F">
        <w:rPr>
          <w:rStyle w:val="Emphasis"/>
          <w:rFonts w:eastAsiaTheme="majorEastAsia"/>
          <w:color w:val="000000" w:themeColor="text1"/>
        </w:rPr>
        <w:t>The Tempest</w:t>
      </w:r>
      <w:r w:rsidR="00785CC1" w:rsidRPr="0032096F">
        <w:rPr>
          <w:color w:val="000000" w:themeColor="text1"/>
        </w:rPr>
        <w:t xml:space="preserve"> functions as a microcosm of Renaissance encounters with new lands. The arrival of European nobles on the island mirrors real historical events in which explorers encountered territories they believed were unclaimed but that already held their own cultural histories. Prospero’s use of magic symbolizes the Renaissance fascination with knowledge, learning, and the mastery of natural forces. His eventual decision to abandon magic and return to Milan suggests a reconciliation between old and new worlds and reflects the Renaissance ideal of restoring harmony after periods of uncertainty</w:t>
      </w:r>
      <w:r w:rsidR="008F0765">
        <w:rPr>
          <w:color w:val="000000" w:themeColor="text1"/>
        </w:rPr>
        <w:t xml:space="preserve"> </w:t>
      </w:r>
      <w:r w:rsidR="008F0765">
        <w:rPr>
          <w:color w:val="000000" w:themeColor="text1"/>
        </w:rPr>
        <w:t>(</w:t>
      </w:r>
      <w:r w:rsidR="008F0765" w:rsidRPr="0032096F">
        <w:rPr>
          <w:color w:val="000000" w:themeColor="text1"/>
        </w:rPr>
        <w:t>Shakespeare</w:t>
      </w:r>
      <w:r w:rsidR="008F0765">
        <w:rPr>
          <w:color w:val="000000" w:themeColor="text1"/>
        </w:rPr>
        <w:t xml:space="preserve">, </w:t>
      </w:r>
      <w:r w:rsidR="008F0765" w:rsidRPr="0032096F">
        <w:rPr>
          <w:color w:val="000000" w:themeColor="text1"/>
        </w:rPr>
        <w:t>2015)</w:t>
      </w:r>
      <w:r w:rsidR="00785CC1" w:rsidRPr="0032096F">
        <w:rPr>
          <w:color w:val="000000" w:themeColor="text1"/>
        </w:rPr>
        <w:t>. Shakespeare’s inclusion of utopian speculation, such as Gonzalo’s imagined commonwealth, further demonstrates the Renaissance tendency to envision better societies shaped by human reason and moral reform</w:t>
      </w:r>
      <w:r w:rsidR="008F0765">
        <w:rPr>
          <w:color w:val="000000" w:themeColor="text1"/>
        </w:rPr>
        <w:t xml:space="preserve"> </w:t>
      </w:r>
      <w:r w:rsidR="008F0765">
        <w:rPr>
          <w:color w:val="000000" w:themeColor="text1"/>
        </w:rPr>
        <w:t>(</w:t>
      </w:r>
      <w:r w:rsidR="008F0765" w:rsidRPr="0032096F">
        <w:rPr>
          <w:color w:val="000000" w:themeColor="text1"/>
        </w:rPr>
        <w:t>Shakespeare</w:t>
      </w:r>
      <w:r w:rsidR="008F0765">
        <w:rPr>
          <w:color w:val="000000" w:themeColor="text1"/>
        </w:rPr>
        <w:t xml:space="preserve">, </w:t>
      </w:r>
      <w:r w:rsidR="008F0765" w:rsidRPr="0032096F">
        <w:rPr>
          <w:color w:val="000000" w:themeColor="text1"/>
        </w:rPr>
        <w:t>2015)</w:t>
      </w:r>
      <w:r w:rsidR="00785CC1" w:rsidRPr="0032096F">
        <w:rPr>
          <w:color w:val="000000" w:themeColor="text1"/>
        </w:rPr>
        <w:t xml:space="preserve">. Through his blending of classical structure, imaginative exploration, and social commentary, </w:t>
      </w:r>
      <w:r w:rsidR="00785CC1" w:rsidRPr="0032096F">
        <w:rPr>
          <w:color w:val="000000" w:themeColor="text1"/>
        </w:rPr>
        <w:lastRenderedPageBreak/>
        <w:t>Shakespeare exemplifies the Renaissance belief that literature could illuminate the complexities of human experience.</w:t>
      </w:r>
    </w:p>
    <w:p w14:paraId="433A0E15" w14:textId="2153AFDF" w:rsidR="00785CC1" w:rsidRDefault="00785CC1" w:rsidP="008F0765">
      <w:pPr>
        <w:pStyle w:val="NormalWeb"/>
        <w:spacing w:before="0" w:beforeAutospacing="0" w:after="0" w:afterAutospacing="0" w:line="480" w:lineRule="auto"/>
        <w:ind w:firstLine="720"/>
        <w:rPr>
          <w:color w:val="000000" w:themeColor="text1"/>
        </w:rPr>
      </w:pPr>
      <w:r w:rsidRPr="0032096F">
        <w:rPr>
          <w:color w:val="000000" w:themeColor="text1"/>
        </w:rPr>
        <w:t>In conclusion, the Renaissance was a period of remarkable intellectual and cultural transformation marked by curiosity, renewed interest in classical learning, and a willingness to question long</w:t>
      </w:r>
      <w:r w:rsidRPr="0032096F">
        <w:rPr>
          <w:color w:val="000000" w:themeColor="text1"/>
        </w:rPr>
        <w:noBreakHyphen/>
        <w:t xml:space="preserve">held assumptions. Shakespeare’s work, </w:t>
      </w:r>
      <w:r w:rsidRPr="0032096F">
        <w:rPr>
          <w:rStyle w:val="Emphasis"/>
          <w:rFonts w:eastAsiaTheme="majorEastAsia"/>
          <w:color w:val="000000" w:themeColor="text1"/>
        </w:rPr>
        <w:t>The Tempest</w:t>
      </w:r>
      <w:r w:rsidRPr="0032096F">
        <w:rPr>
          <w:color w:val="000000" w:themeColor="text1"/>
        </w:rPr>
        <w:t>, reflects the defining characteristics of the movement through its exploration of discovery, power, morality, and the encounter between worlds. His characters embody Renaissance questions about human nature and the responsibilities of leadership, while his dramatic themes reveal the tensions and possibilities that arise when societies confront change. By examining the Renaissance through both historical context and literary expression, it becomes clear that Shakespeare not only participated in the movement but also helped shape its enduring impact on world literature.</w:t>
      </w:r>
    </w:p>
    <w:p w14:paraId="6AB529BD" w14:textId="77777777" w:rsidR="0032096F" w:rsidRDefault="0032096F" w:rsidP="0032096F">
      <w:pPr>
        <w:pStyle w:val="NormalWeb"/>
        <w:spacing w:before="0" w:beforeAutospacing="0" w:after="0" w:afterAutospacing="0" w:line="480" w:lineRule="auto"/>
        <w:rPr>
          <w:color w:val="000000" w:themeColor="text1"/>
        </w:rPr>
      </w:pPr>
    </w:p>
    <w:p w14:paraId="35D41984" w14:textId="77777777" w:rsidR="0032096F" w:rsidRDefault="0032096F" w:rsidP="0032096F">
      <w:pPr>
        <w:pStyle w:val="NormalWeb"/>
        <w:spacing w:before="0" w:beforeAutospacing="0" w:after="0" w:afterAutospacing="0" w:line="480" w:lineRule="auto"/>
        <w:rPr>
          <w:color w:val="000000" w:themeColor="text1"/>
        </w:rPr>
      </w:pPr>
    </w:p>
    <w:p w14:paraId="4CF431EC" w14:textId="77777777" w:rsidR="0032096F" w:rsidRDefault="0032096F" w:rsidP="0032096F">
      <w:pPr>
        <w:pStyle w:val="NormalWeb"/>
        <w:spacing w:before="0" w:beforeAutospacing="0" w:after="0" w:afterAutospacing="0" w:line="480" w:lineRule="auto"/>
        <w:rPr>
          <w:color w:val="000000" w:themeColor="text1"/>
        </w:rPr>
      </w:pPr>
    </w:p>
    <w:p w14:paraId="64E0E248" w14:textId="77777777" w:rsidR="0032096F" w:rsidRDefault="0032096F" w:rsidP="0032096F">
      <w:pPr>
        <w:pStyle w:val="NormalWeb"/>
        <w:spacing w:before="0" w:beforeAutospacing="0" w:after="0" w:afterAutospacing="0" w:line="480" w:lineRule="auto"/>
        <w:rPr>
          <w:color w:val="000000" w:themeColor="text1"/>
        </w:rPr>
      </w:pPr>
    </w:p>
    <w:p w14:paraId="51E1C937" w14:textId="77777777" w:rsidR="0032096F" w:rsidRDefault="0032096F" w:rsidP="0032096F">
      <w:pPr>
        <w:pStyle w:val="NormalWeb"/>
        <w:spacing w:before="0" w:beforeAutospacing="0" w:after="0" w:afterAutospacing="0" w:line="480" w:lineRule="auto"/>
        <w:rPr>
          <w:color w:val="000000" w:themeColor="text1"/>
        </w:rPr>
      </w:pPr>
    </w:p>
    <w:p w14:paraId="09DF4871" w14:textId="77777777" w:rsidR="0032096F" w:rsidRDefault="0032096F" w:rsidP="0032096F">
      <w:pPr>
        <w:pStyle w:val="NormalWeb"/>
        <w:spacing w:before="0" w:beforeAutospacing="0" w:after="0" w:afterAutospacing="0" w:line="480" w:lineRule="auto"/>
        <w:rPr>
          <w:color w:val="000000" w:themeColor="text1"/>
        </w:rPr>
      </w:pPr>
    </w:p>
    <w:p w14:paraId="2C6B2314" w14:textId="77777777" w:rsidR="0032096F" w:rsidRDefault="0032096F" w:rsidP="0032096F">
      <w:pPr>
        <w:pStyle w:val="NormalWeb"/>
        <w:spacing w:before="0" w:beforeAutospacing="0" w:after="0" w:afterAutospacing="0" w:line="480" w:lineRule="auto"/>
        <w:rPr>
          <w:color w:val="000000" w:themeColor="text1"/>
        </w:rPr>
      </w:pPr>
    </w:p>
    <w:p w14:paraId="5C15DA7C" w14:textId="77777777" w:rsidR="0032096F" w:rsidRDefault="0032096F" w:rsidP="0032096F">
      <w:pPr>
        <w:pStyle w:val="NormalWeb"/>
        <w:spacing w:before="0" w:beforeAutospacing="0" w:after="0" w:afterAutospacing="0" w:line="480" w:lineRule="auto"/>
        <w:rPr>
          <w:color w:val="000000" w:themeColor="text1"/>
        </w:rPr>
      </w:pPr>
    </w:p>
    <w:p w14:paraId="372A1D91" w14:textId="77777777" w:rsidR="0032096F" w:rsidRDefault="0032096F" w:rsidP="0032096F">
      <w:pPr>
        <w:pStyle w:val="NormalWeb"/>
        <w:spacing w:before="0" w:beforeAutospacing="0" w:after="0" w:afterAutospacing="0" w:line="480" w:lineRule="auto"/>
        <w:rPr>
          <w:color w:val="000000" w:themeColor="text1"/>
        </w:rPr>
      </w:pPr>
    </w:p>
    <w:p w14:paraId="20B53E90" w14:textId="77777777" w:rsidR="0032096F" w:rsidRDefault="0032096F" w:rsidP="0032096F">
      <w:pPr>
        <w:pStyle w:val="NormalWeb"/>
        <w:spacing w:before="0" w:beforeAutospacing="0" w:after="0" w:afterAutospacing="0" w:line="480" w:lineRule="auto"/>
        <w:rPr>
          <w:color w:val="000000" w:themeColor="text1"/>
        </w:rPr>
      </w:pPr>
    </w:p>
    <w:p w14:paraId="4D564361" w14:textId="77777777" w:rsidR="0032096F" w:rsidRDefault="0032096F" w:rsidP="0032096F">
      <w:pPr>
        <w:pStyle w:val="NormalWeb"/>
        <w:spacing w:before="0" w:beforeAutospacing="0" w:after="0" w:afterAutospacing="0" w:line="480" w:lineRule="auto"/>
        <w:rPr>
          <w:color w:val="000000" w:themeColor="text1"/>
        </w:rPr>
      </w:pPr>
    </w:p>
    <w:p w14:paraId="6C8CC46A" w14:textId="77777777" w:rsidR="0032096F" w:rsidRDefault="0032096F" w:rsidP="0032096F">
      <w:pPr>
        <w:pStyle w:val="NormalWeb"/>
        <w:spacing w:before="0" w:beforeAutospacing="0" w:after="0" w:afterAutospacing="0" w:line="480" w:lineRule="auto"/>
        <w:rPr>
          <w:color w:val="000000" w:themeColor="text1"/>
        </w:rPr>
      </w:pPr>
    </w:p>
    <w:p w14:paraId="1F557976" w14:textId="77777777" w:rsidR="0032096F" w:rsidRDefault="0032096F" w:rsidP="0032096F">
      <w:pPr>
        <w:pStyle w:val="NormalWeb"/>
        <w:spacing w:before="0" w:beforeAutospacing="0" w:after="0" w:afterAutospacing="0" w:line="480" w:lineRule="auto"/>
        <w:rPr>
          <w:color w:val="000000" w:themeColor="text1"/>
        </w:rPr>
      </w:pPr>
    </w:p>
    <w:p w14:paraId="3B2B0FAA" w14:textId="77777777" w:rsidR="0032096F" w:rsidRPr="0032096F" w:rsidRDefault="0032096F" w:rsidP="0032096F">
      <w:pPr>
        <w:shd w:val="clear" w:color="auto" w:fill="FFFFFF"/>
        <w:spacing w:after="0"/>
        <w:jc w:val="center"/>
        <w:rPr>
          <w:rFonts w:ascii="Times New Roman" w:hAnsi="Times New Roman" w:cs="Times New Roman"/>
          <w:b/>
          <w:bCs/>
          <w:color w:val="000000"/>
          <w:sz w:val="24"/>
          <w:szCs w:val="24"/>
        </w:rPr>
      </w:pPr>
      <w:r w:rsidRPr="0032096F">
        <w:rPr>
          <w:rFonts w:ascii="Times New Roman" w:hAnsi="Times New Roman" w:cs="Times New Roman"/>
          <w:b/>
          <w:bCs/>
          <w:color w:val="000000"/>
          <w:sz w:val="24"/>
          <w:szCs w:val="24"/>
        </w:rPr>
        <w:lastRenderedPageBreak/>
        <w:t>References</w:t>
      </w:r>
    </w:p>
    <w:p w14:paraId="5F059560" w14:textId="482EFC70" w:rsidR="0032096F" w:rsidRPr="0032096F" w:rsidRDefault="0032096F" w:rsidP="0032096F">
      <w:pPr>
        <w:pStyle w:val="NormalWeb"/>
        <w:shd w:val="clear" w:color="auto" w:fill="FFFFFF"/>
        <w:spacing w:before="0" w:beforeAutospacing="0" w:after="0" w:afterAutospacing="0" w:line="550" w:lineRule="atLeast"/>
        <w:ind w:left="720" w:right="75" w:hanging="720"/>
        <w:rPr>
          <w:color w:val="000000"/>
        </w:rPr>
      </w:pPr>
      <w:r w:rsidRPr="0032096F">
        <w:rPr>
          <w:color w:val="1D2125"/>
          <w:shd w:val="clear" w:color="auto" w:fill="FFFFFF"/>
        </w:rPr>
        <w:t>Getty, L., Kwon, K., Kelley, R., &amp; Thomson, D. (2020). </w:t>
      </w:r>
      <w:hyperlink r:id="rId7" w:tgtFrame="_blank" w:history="1">
        <w:r w:rsidRPr="0032096F">
          <w:rPr>
            <w:rStyle w:val="Hyperlink"/>
            <w:rFonts w:eastAsiaTheme="majorEastAsia"/>
            <w:color w:val="E90172"/>
            <w:shd w:val="clear" w:color="auto" w:fill="FFFFFF"/>
          </w:rPr>
          <w:t>World Literature I: Beginnings to 1650</w:t>
        </w:r>
      </w:hyperlink>
      <w:r w:rsidRPr="0032096F">
        <w:rPr>
          <w:color w:val="1D2125"/>
          <w:shd w:val="clear" w:color="auto" w:fill="FFFFFF"/>
        </w:rPr>
        <w:t>. In </w:t>
      </w:r>
      <w:r w:rsidRPr="0032096F">
        <w:rPr>
          <w:rStyle w:val="Emphasis"/>
          <w:rFonts w:eastAsiaTheme="majorEastAsia"/>
          <w:color w:val="1D2125"/>
          <w:shd w:val="clear" w:color="auto" w:fill="FFFFFF"/>
        </w:rPr>
        <w:t>Open ALG</w:t>
      </w:r>
      <w:r w:rsidRPr="0032096F">
        <w:rPr>
          <w:color w:val="1D2125"/>
          <w:shd w:val="clear" w:color="auto" w:fill="FFFFFF"/>
        </w:rPr>
        <w:t>. University System of Georgia, University Press of North Georgia. </w:t>
      </w:r>
      <w:hyperlink r:id="rId8" w:tgtFrame="_blank" w:history="1">
        <w:r w:rsidRPr="0032096F">
          <w:rPr>
            <w:rStyle w:val="Hyperlink"/>
            <w:rFonts w:eastAsiaTheme="majorEastAsia"/>
            <w:color w:val="E90172"/>
            <w:shd w:val="clear" w:color="auto" w:fill="FFFFFF"/>
          </w:rPr>
          <w:t>https://alg.manifoldapp.org/projects/world-literature-i</w:t>
        </w:r>
      </w:hyperlink>
    </w:p>
    <w:p w14:paraId="0E452E69" w14:textId="77777777" w:rsidR="0032096F" w:rsidRPr="0032096F" w:rsidRDefault="0032096F" w:rsidP="0032096F">
      <w:pPr>
        <w:pStyle w:val="NormalWeb"/>
        <w:shd w:val="clear" w:color="auto" w:fill="FFFFFF"/>
        <w:spacing w:before="0" w:beforeAutospacing="0" w:after="0" w:afterAutospacing="0" w:line="550" w:lineRule="atLeast"/>
        <w:ind w:left="720" w:right="75" w:hanging="720"/>
        <w:rPr>
          <w:color w:val="1D2125"/>
          <w:shd w:val="clear" w:color="auto" w:fill="FFFFFF"/>
        </w:rPr>
      </w:pPr>
      <w:r w:rsidRPr="0032096F">
        <w:rPr>
          <w:color w:val="000000"/>
        </w:rPr>
        <w:t>Shakespeare W. (2015, 31). </w:t>
      </w:r>
      <w:r w:rsidRPr="0032096F">
        <w:rPr>
          <w:rStyle w:val="Emphasis"/>
          <w:rFonts w:eastAsiaTheme="majorEastAsia"/>
          <w:color w:val="000000"/>
        </w:rPr>
        <w:t>The tempest - Entire play | Folger Shakespeare library</w:t>
      </w:r>
      <w:r w:rsidRPr="0032096F">
        <w:rPr>
          <w:color w:val="000000"/>
        </w:rPr>
        <w:t>. Folger Shakespeare Library. </w:t>
      </w:r>
      <w:hyperlink r:id="rId9" w:history="1">
        <w:r w:rsidRPr="0032096F">
          <w:rPr>
            <w:rStyle w:val="Hyperlink"/>
            <w:rFonts w:eastAsiaTheme="majorEastAsia"/>
            <w:color w:val="000000"/>
          </w:rPr>
          <w:t>https://www.folger.edu/explore/shakespeares-works/the-tempest/read/</w:t>
        </w:r>
      </w:hyperlink>
      <w:r w:rsidRPr="0032096F">
        <w:rPr>
          <w:color w:val="1D2125"/>
          <w:shd w:val="clear" w:color="auto" w:fill="FFFFFF"/>
        </w:rPr>
        <w:t xml:space="preserve"> </w:t>
      </w:r>
    </w:p>
    <w:p w14:paraId="13E9EB67" w14:textId="0B379385" w:rsidR="00533041" w:rsidRPr="0032096F" w:rsidRDefault="00533041" w:rsidP="0032096F">
      <w:pPr>
        <w:spacing w:after="0"/>
        <w:rPr>
          <w:rFonts w:ascii="Times New Roman" w:hAnsi="Times New Roman" w:cs="Times New Roman"/>
          <w:color w:val="000000" w:themeColor="text1"/>
          <w:sz w:val="24"/>
          <w:szCs w:val="24"/>
        </w:rPr>
      </w:pPr>
    </w:p>
    <w:p w14:paraId="0190C501" w14:textId="77777777" w:rsidR="0032096F" w:rsidRPr="0032096F" w:rsidRDefault="0032096F">
      <w:pPr>
        <w:spacing w:after="0"/>
        <w:rPr>
          <w:rFonts w:ascii="Times New Roman" w:hAnsi="Times New Roman" w:cs="Times New Roman"/>
          <w:color w:val="000000" w:themeColor="text1"/>
          <w:sz w:val="24"/>
          <w:szCs w:val="24"/>
        </w:rPr>
      </w:pPr>
    </w:p>
    <w:sectPr w:rsidR="0032096F" w:rsidRPr="0032096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6E1C0" w14:textId="77777777" w:rsidR="00F51343" w:rsidRDefault="00F51343" w:rsidP="00302292">
      <w:pPr>
        <w:spacing w:after="0" w:line="240" w:lineRule="auto"/>
      </w:pPr>
      <w:r>
        <w:separator/>
      </w:r>
    </w:p>
  </w:endnote>
  <w:endnote w:type="continuationSeparator" w:id="0">
    <w:p w14:paraId="07F397F4" w14:textId="77777777" w:rsidR="00F51343" w:rsidRDefault="00F51343"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14EB" w14:textId="77777777" w:rsidR="00F51343" w:rsidRDefault="00F51343" w:rsidP="00302292">
      <w:pPr>
        <w:spacing w:after="0" w:line="240" w:lineRule="auto"/>
      </w:pPr>
      <w:r>
        <w:separator/>
      </w:r>
    </w:p>
  </w:footnote>
  <w:footnote w:type="continuationSeparator" w:id="0">
    <w:p w14:paraId="16F5EB66" w14:textId="77777777" w:rsidR="00F51343" w:rsidRDefault="00F51343"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638"/>
    <w:multiLevelType w:val="multilevel"/>
    <w:tmpl w:val="976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72137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1D7B42"/>
    <w:rsid w:val="002268E1"/>
    <w:rsid w:val="00302292"/>
    <w:rsid w:val="0032096F"/>
    <w:rsid w:val="004419DC"/>
    <w:rsid w:val="004421DA"/>
    <w:rsid w:val="004D1099"/>
    <w:rsid w:val="004E77EC"/>
    <w:rsid w:val="00533041"/>
    <w:rsid w:val="005D6361"/>
    <w:rsid w:val="0060152E"/>
    <w:rsid w:val="0063534D"/>
    <w:rsid w:val="00655AC8"/>
    <w:rsid w:val="00772062"/>
    <w:rsid w:val="00785CC1"/>
    <w:rsid w:val="00827EB9"/>
    <w:rsid w:val="008F0765"/>
    <w:rsid w:val="008F5E2A"/>
    <w:rsid w:val="009D103B"/>
    <w:rsid w:val="009E5940"/>
    <w:rsid w:val="00A35799"/>
    <w:rsid w:val="00A85D90"/>
    <w:rsid w:val="00AE0E21"/>
    <w:rsid w:val="00B4226B"/>
    <w:rsid w:val="00BB303F"/>
    <w:rsid w:val="00C35DC7"/>
    <w:rsid w:val="00C52066"/>
    <w:rsid w:val="00CA0B8E"/>
    <w:rsid w:val="00D13054"/>
    <w:rsid w:val="00D323BE"/>
    <w:rsid w:val="00D76D23"/>
    <w:rsid w:val="00D76F54"/>
    <w:rsid w:val="00F51343"/>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85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manifoldapp.org/projects/world-literature-i" TargetMode="External"/><Relationship Id="rId3" Type="http://schemas.openxmlformats.org/officeDocument/2006/relationships/settings" Target="settings.xml"/><Relationship Id="rId7" Type="http://schemas.openxmlformats.org/officeDocument/2006/relationships/hyperlink" Target="https://alg.manifoldapp.org/projects/world-literature-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olger.edu/explore/shakespeares-works/the-tempest/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TotalTime>
  <Pages>5</Pages>
  <Words>1060</Words>
  <Characters>4964</Characters>
  <Application>Microsoft Office Word</Application>
  <DocSecurity>0</DocSecurity>
  <Lines>99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2026-02-11T10:23:00Z</dcterms:created>
  <dcterms:modified xsi:type="dcterms:W3CDTF">2026-02-11T11:15:00Z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