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66EDD65B" w14:textId="77777777" w:rsidR="00567E51" w:rsidRPr="00567E51" w:rsidRDefault="00567E51" w:rsidP="00567E51">
      <w:pPr>
        <w:pStyle w:val="NormalWeb"/>
        <w:spacing w:after="0"/>
        <w:jc w:val="center"/>
        <w:rPr>
          <w:color w:val="000000" w:themeColor="text1"/>
        </w:rPr>
      </w:pPr>
      <w:r w:rsidRPr="00567E51">
        <w:rPr>
          <w:color w:val="000000" w:themeColor="text1"/>
        </w:rPr>
        <w:t>Critical Appreciation of “The Epic of Gilgamesh”</w:t>
      </w: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2CFCD2B8" w14:textId="77777777" w:rsidR="008F0765" w:rsidRDefault="008F0765" w:rsidP="00CA0B8E">
      <w:pPr>
        <w:pStyle w:val="NormalWeb"/>
        <w:jc w:val="center"/>
      </w:pPr>
      <w:r w:rsidRPr="008F0765">
        <w:t xml:space="preserve">ENGL 1405 </w:t>
      </w:r>
      <w:r>
        <w:t>:</w:t>
      </w:r>
      <w:r w:rsidRPr="008F0765">
        <w:t>World Literature</w:t>
      </w:r>
    </w:p>
    <w:p w14:paraId="37537BE0" w14:textId="77777777" w:rsidR="008F0765" w:rsidRDefault="008F0765" w:rsidP="008F0765">
      <w:pPr>
        <w:pStyle w:val="NormalWeb"/>
        <w:jc w:val="center"/>
      </w:pPr>
      <w:r>
        <w:t>Shanti Thatil</w:t>
      </w:r>
    </w:p>
    <w:p w14:paraId="5D3EA7F7" w14:textId="223926A5" w:rsidR="00302292" w:rsidRDefault="00CA0B8E" w:rsidP="00302292">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February </w:t>
      </w:r>
      <w:r w:rsidR="008129FF">
        <w:rPr>
          <w:rFonts w:ascii="Times New Roman" w:hAnsi="Times New Roman" w:cs="Times New Roman"/>
          <w:sz w:val="24"/>
          <w:szCs w:val="24"/>
          <w:lang w:val="en-US"/>
        </w:rPr>
        <w:t>26</w:t>
      </w:r>
      <w:r>
        <w:rPr>
          <w:rFonts w:ascii="Times New Roman" w:hAnsi="Times New Roman" w:cs="Times New Roman"/>
          <w:sz w:val="24"/>
          <w:szCs w:val="24"/>
          <w:lang w:val="en-US"/>
        </w:rPr>
        <w:t>, 2026</w:t>
      </w:r>
    </w:p>
    <w:p w14:paraId="44D96C67" w14:textId="77777777" w:rsidR="00302292" w:rsidRDefault="00302292" w:rsidP="00302292">
      <w:pPr>
        <w:jc w:val="center"/>
        <w:rPr>
          <w:rFonts w:ascii="Times New Roman" w:hAnsi="Times New Roman" w:cs="Times New Roman"/>
          <w:sz w:val="24"/>
          <w:szCs w:val="24"/>
          <w:lang w:val="en-US"/>
        </w:rPr>
      </w:pPr>
    </w:p>
    <w:p w14:paraId="4CF01A4E" w14:textId="77777777" w:rsidR="00302292" w:rsidRDefault="00302292" w:rsidP="00302292">
      <w:pPr>
        <w:jc w:val="center"/>
        <w:rPr>
          <w:rFonts w:ascii="Times New Roman" w:hAnsi="Times New Roman" w:cs="Times New Roman"/>
          <w:sz w:val="24"/>
          <w:szCs w:val="24"/>
          <w:lang w:val="en-US"/>
        </w:rPr>
      </w:pPr>
    </w:p>
    <w:p w14:paraId="1E3D945E" w14:textId="77777777" w:rsidR="00302292" w:rsidRDefault="00302292" w:rsidP="00302292">
      <w:pPr>
        <w:jc w:val="center"/>
        <w:rPr>
          <w:rFonts w:ascii="Times New Roman" w:hAnsi="Times New Roman" w:cs="Times New Roman"/>
          <w:sz w:val="24"/>
          <w:szCs w:val="24"/>
          <w:lang w:val="en-US"/>
        </w:rPr>
      </w:pPr>
    </w:p>
    <w:p w14:paraId="3AE0198E" w14:textId="77777777" w:rsidR="00302292" w:rsidRDefault="00302292" w:rsidP="00302292">
      <w:pPr>
        <w:jc w:val="center"/>
        <w:rPr>
          <w:rFonts w:ascii="Times New Roman" w:hAnsi="Times New Roman" w:cs="Times New Roman"/>
          <w:sz w:val="24"/>
          <w:szCs w:val="24"/>
          <w:lang w:val="en-US"/>
        </w:rPr>
      </w:pPr>
    </w:p>
    <w:p w14:paraId="23A2C055" w14:textId="77777777" w:rsidR="00302292" w:rsidRDefault="00302292" w:rsidP="00302292">
      <w:pPr>
        <w:jc w:val="center"/>
        <w:rPr>
          <w:rFonts w:ascii="Times New Roman" w:hAnsi="Times New Roman" w:cs="Times New Roman"/>
          <w:sz w:val="24"/>
          <w:szCs w:val="24"/>
          <w:lang w:val="en-US"/>
        </w:rPr>
      </w:pPr>
    </w:p>
    <w:p w14:paraId="3D7C8B9F" w14:textId="77777777" w:rsidR="00302292" w:rsidRDefault="00302292" w:rsidP="00302292">
      <w:pPr>
        <w:jc w:val="center"/>
        <w:rPr>
          <w:rFonts w:ascii="Times New Roman" w:hAnsi="Times New Roman" w:cs="Times New Roman"/>
          <w:sz w:val="24"/>
          <w:szCs w:val="24"/>
          <w:lang w:val="en-US"/>
        </w:rPr>
      </w:pPr>
    </w:p>
    <w:p w14:paraId="39820B5D" w14:textId="77777777" w:rsidR="00302292" w:rsidRDefault="00302292" w:rsidP="00302292">
      <w:pPr>
        <w:jc w:val="center"/>
        <w:rPr>
          <w:rFonts w:ascii="Times New Roman" w:hAnsi="Times New Roman" w:cs="Times New Roman"/>
          <w:sz w:val="24"/>
          <w:szCs w:val="24"/>
          <w:lang w:val="en-US"/>
        </w:rPr>
      </w:pPr>
    </w:p>
    <w:p w14:paraId="14ECAA7F" w14:textId="625191C5" w:rsidR="00785CC1" w:rsidRDefault="00785CC1" w:rsidP="00785CC1">
      <w:pPr>
        <w:spacing w:line="300" w:lineRule="atLeast"/>
        <w:ind w:left="0"/>
        <w:rPr>
          <w:rFonts w:ascii="Segoe UI" w:hAnsi="Segoe UI" w:cs="Segoe UI"/>
          <w:sz w:val="21"/>
          <w:szCs w:val="21"/>
        </w:rPr>
      </w:pPr>
    </w:p>
    <w:p w14:paraId="0037677D" w14:textId="058C4430" w:rsidR="008129FF" w:rsidRPr="008129FF" w:rsidRDefault="008129FF" w:rsidP="008129FF">
      <w:pPr>
        <w:pStyle w:val="NormalWeb"/>
        <w:spacing w:after="0"/>
        <w:jc w:val="center"/>
        <w:rPr>
          <w:b/>
          <w:bCs/>
          <w:color w:val="000000" w:themeColor="text1"/>
        </w:rPr>
      </w:pPr>
      <w:r w:rsidRPr="008129FF">
        <w:rPr>
          <w:b/>
          <w:bCs/>
          <w:color w:val="000000" w:themeColor="text1"/>
        </w:rPr>
        <w:lastRenderedPageBreak/>
        <w:t>Critical Appreciation of “The Epic of Gilgamesh”</w:t>
      </w:r>
    </w:p>
    <w:p w14:paraId="5E0DFD6C" w14:textId="0BFC5A04" w:rsidR="00381A1C" w:rsidRPr="00381A1C" w:rsidRDefault="00381A1C" w:rsidP="00381A1C">
      <w:pPr>
        <w:pStyle w:val="NormalWeb"/>
        <w:spacing w:before="0" w:beforeAutospacing="0" w:after="0" w:afterAutospacing="0" w:line="480" w:lineRule="auto"/>
        <w:rPr>
          <w:b/>
          <w:bCs/>
          <w:color w:val="000000" w:themeColor="text1"/>
        </w:rPr>
      </w:pPr>
      <w:r w:rsidRPr="00381A1C">
        <w:rPr>
          <w:b/>
          <w:bCs/>
          <w:color w:val="000000" w:themeColor="text1"/>
        </w:rPr>
        <w:t>Introduction</w:t>
      </w:r>
    </w:p>
    <w:p w14:paraId="37B026CB" w14:textId="0A7A2C26" w:rsidR="00381A1C" w:rsidRPr="00381A1C" w:rsidRDefault="00381A1C" w:rsidP="00567E51">
      <w:pPr>
        <w:pStyle w:val="NormalWeb"/>
        <w:spacing w:before="0" w:beforeAutospacing="0" w:after="0" w:afterAutospacing="0" w:line="480" w:lineRule="auto"/>
        <w:ind w:firstLine="720"/>
        <w:rPr>
          <w:color w:val="000000" w:themeColor="text1"/>
        </w:rPr>
      </w:pPr>
      <w:r w:rsidRPr="00381A1C">
        <w:rPr>
          <w:color w:val="000000" w:themeColor="text1"/>
        </w:rPr>
        <w:t>“The Epic of Gilgamesh” is widely recognized as one of the earliest and most significant works of literature, originating from ancient Mesopotamian civilization. This long narrative poem recounts the heroic exploits and spiritual journey of Gilgamesh, the king of Uruk, whose story presents universal themes such as mortality, friendship, and the quest for meaning. This essay offers a critical appreciation of “The Epic of Gilgamesh” by analyzing its poetic form and applying essential criteria for poetry analysis, including theme, language, imagery, and emotional impact</w:t>
      </w:r>
      <w:r>
        <w:rPr>
          <w:color w:val="000000" w:themeColor="text1"/>
        </w:rPr>
        <w:t>.</w:t>
      </w:r>
    </w:p>
    <w:p w14:paraId="053BB5C1" w14:textId="6196E721" w:rsidR="00381A1C" w:rsidRPr="00381A1C" w:rsidRDefault="00381A1C" w:rsidP="00381A1C">
      <w:pPr>
        <w:pStyle w:val="NormalWeb"/>
        <w:spacing w:before="0" w:beforeAutospacing="0" w:after="0" w:afterAutospacing="0" w:line="480" w:lineRule="auto"/>
        <w:rPr>
          <w:b/>
          <w:bCs/>
          <w:color w:val="000000" w:themeColor="text1"/>
        </w:rPr>
      </w:pPr>
      <w:r w:rsidRPr="00381A1C">
        <w:rPr>
          <w:b/>
          <w:bCs/>
          <w:color w:val="000000" w:themeColor="text1"/>
        </w:rPr>
        <w:t xml:space="preserve">Form of the </w:t>
      </w:r>
      <w:r w:rsidRPr="00381A1C">
        <w:rPr>
          <w:b/>
          <w:bCs/>
          <w:color w:val="000000" w:themeColor="text1"/>
        </w:rPr>
        <w:t>p</w:t>
      </w:r>
      <w:r w:rsidRPr="00381A1C">
        <w:rPr>
          <w:b/>
          <w:bCs/>
          <w:color w:val="000000" w:themeColor="text1"/>
        </w:rPr>
        <w:t>oem</w:t>
      </w:r>
    </w:p>
    <w:p w14:paraId="632D4937" w14:textId="0C8520BA" w:rsidR="00381A1C" w:rsidRPr="00381A1C" w:rsidRDefault="00381A1C" w:rsidP="00567E51">
      <w:pPr>
        <w:pStyle w:val="NormalWeb"/>
        <w:spacing w:before="0" w:beforeAutospacing="0" w:after="0" w:afterAutospacing="0" w:line="480" w:lineRule="auto"/>
        <w:ind w:firstLine="720"/>
        <w:rPr>
          <w:color w:val="000000" w:themeColor="text1"/>
        </w:rPr>
      </w:pPr>
      <w:r w:rsidRPr="00381A1C">
        <w:rPr>
          <w:color w:val="000000" w:themeColor="text1"/>
        </w:rPr>
        <w:t>“The Epic of Gilgamesh” is an epic poem, a form defined by its length and narrative scope, typically recounting the adventures and deeds of a hero that symbolize the history or mythology of a culture (Getty et al., 2020). Epics traditionally lack fixed stanzaic structure and instead unfold in continuous storytelling, as is the case here. The poem chronicles Gilgamesh’s divine-human nature, his tyrannical reign, and his transformative quest following his friend Enkidu’s death. The epic form suits the grandeur and complexity of the themes it explores, offering a broad canvas for cultural values and existential inquiries (Getty et al., 2020). This aligns with Branscumb’s (2024b) emphasis on understanding how form supports thematic development in poetry.</w:t>
      </w:r>
    </w:p>
    <w:p w14:paraId="5928A526" w14:textId="53FF8459" w:rsidR="00381A1C" w:rsidRPr="00567E51" w:rsidRDefault="00381A1C" w:rsidP="00381A1C">
      <w:pPr>
        <w:pStyle w:val="NormalWeb"/>
        <w:spacing w:before="0" w:beforeAutospacing="0" w:after="0" w:afterAutospacing="0" w:line="480" w:lineRule="auto"/>
        <w:rPr>
          <w:b/>
          <w:bCs/>
          <w:color w:val="000000" w:themeColor="text1"/>
        </w:rPr>
      </w:pPr>
      <w:r w:rsidRPr="00567E51">
        <w:rPr>
          <w:b/>
          <w:bCs/>
          <w:color w:val="000000" w:themeColor="text1"/>
        </w:rPr>
        <w:t xml:space="preserve">Theme and </w:t>
      </w:r>
      <w:r w:rsidRPr="00567E51">
        <w:rPr>
          <w:b/>
          <w:bCs/>
          <w:color w:val="000000" w:themeColor="text1"/>
        </w:rPr>
        <w:t>content analysis</w:t>
      </w:r>
    </w:p>
    <w:p w14:paraId="4F611610" w14:textId="0C25C864" w:rsidR="00381A1C" w:rsidRPr="00381A1C" w:rsidRDefault="00381A1C" w:rsidP="00567E51">
      <w:pPr>
        <w:pStyle w:val="NormalWeb"/>
        <w:spacing w:before="0" w:beforeAutospacing="0" w:after="0" w:afterAutospacing="0" w:line="480" w:lineRule="auto"/>
        <w:ind w:firstLine="720"/>
        <w:rPr>
          <w:color w:val="000000" w:themeColor="text1"/>
        </w:rPr>
      </w:pPr>
      <w:r w:rsidRPr="00381A1C">
        <w:rPr>
          <w:color w:val="000000" w:themeColor="text1"/>
        </w:rPr>
        <w:t xml:space="preserve">At its core, “The Epic of Gilgamesh” grapples with the human condition, particularly the inevitability of death and the desire for immortality. The narrative progresses from Gilgamesh’s arrogance and physical prowess to his profound grief and fear after Enkidu’s death, prompting a quest to discover eternal life (Getty et al., 2020). The poem’s exploration of mortality is universal and timeless, inviting readers to reflect on life’s transient nature and </w:t>
      </w:r>
      <w:r w:rsidRPr="00381A1C">
        <w:rPr>
          <w:color w:val="000000" w:themeColor="text1"/>
        </w:rPr>
        <w:lastRenderedPageBreak/>
        <w:t>the pursuit of lasting meaning. Friendship is another central theme, depicted through the evolving relationship between Gilgamesh and Enkidu, which humanizes the king and catalyzes his growth (Getty et al., 2020). Additionally, the epic addresses divine influence and fate, as gods intervene in human affairs and shape destinies, reflecting ancient Mesopotamian beliefs (Getty et al., 2020). These thematic concerns correspond with Branscumb’s (2024b) guideline to analyze the poem’s subject matter and its relevance.</w:t>
      </w:r>
    </w:p>
    <w:p w14:paraId="1BC75542" w14:textId="22A4177D" w:rsidR="00381A1C" w:rsidRPr="00567E51" w:rsidRDefault="00381A1C" w:rsidP="00381A1C">
      <w:pPr>
        <w:pStyle w:val="NormalWeb"/>
        <w:spacing w:before="0" w:beforeAutospacing="0" w:after="0" w:afterAutospacing="0" w:line="480" w:lineRule="auto"/>
        <w:rPr>
          <w:b/>
          <w:bCs/>
          <w:color w:val="000000" w:themeColor="text1"/>
        </w:rPr>
      </w:pPr>
      <w:r w:rsidRPr="00567E51">
        <w:rPr>
          <w:b/>
          <w:bCs/>
          <w:color w:val="000000" w:themeColor="text1"/>
        </w:rPr>
        <w:t xml:space="preserve">Language and </w:t>
      </w:r>
      <w:r w:rsidRPr="00567E51">
        <w:rPr>
          <w:b/>
          <w:bCs/>
          <w:color w:val="000000" w:themeColor="text1"/>
        </w:rPr>
        <w:t>i</w:t>
      </w:r>
      <w:r w:rsidRPr="00567E51">
        <w:rPr>
          <w:b/>
          <w:bCs/>
          <w:color w:val="000000" w:themeColor="text1"/>
        </w:rPr>
        <w:t>magery</w:t>
      </w:r>
    </w:p>
    <w:p w14:paraId="340DA8A3" w14:textId="70526EC8" w:rsidR="00381A1C" w:rsidRPr="00381A1C" w:rsidRDefault="00381A1C" w:rsidP="00567E51">
      <w:pPr>
        <w:pStyle w:val="NormalWeb"/>
        <w:spacing w:before="0" w:beforeAutospacing="0" w:after="0" w:afterAutospacing="0" w:line="480" w:lineRule="auto"/>
        <w:ind w:firstLine="720"/>
        <w:rPr>
          <w:color w:val="000000" w:themeColor="text1"/>
        </w:rPr>
      </w:pPr>
      <w:r w:rsidRPr="00381A1C">
        <w:rPr>
          <w:color w:val="000000" w:themeColor="text1"/>
        </w:rPr>
        <w:t>The language employed in this translation is vivid and evocative, using imagery that animates the ancient world and its mythic dimensions. For example, descriptions such as “the gods of Uruk assume the shape of flies and buzz about the streets” and Humbaba’s “roar was a whirlwind, flame in his jaws, and his very breath Death” create a powerful sensory experience (Getty et al., 2020, pp. 57, 66). The poem frequently uses metaphor and simile to highlight Gilgamesh’s god-like strength, likening him to “a double of Anu’s own self” (Getty et al., 2020, p. 58). This figurative language enhances the heroic and supernatural qualities central to epic poetry. Branscumb (2024b) stresses the importance of analyzing language and imagery to understand how poets evoke emotions and meaning, a criterion well met in this epic.</w:t>
      </w:r>
    </w:p>
    <w:p w14:paraId="4A916D05" w14:textId="68FA95D1" w:rsidR="00381A1C" w:rsidRPr="00567E51" w:rsidRDefault="00381A1C" w:rsidP="00381A1C">
      <w:pPr>
        <w:pStyle w:val="NormalWeb"/>
        <w:spacing w:before="0" w:beforeAutospacing="0" w:after="0" w:afterAutospacing="0" w:line="480" w:lineRule="auto"/>
        <w:rPr>
          <w:b/>
          <w:bCs/>
          <w:color w:val="000000" w:themeColor="text1"/>
        </w:rPr>
      </w:pPr>
      <w:r w:rsidRPr="00567E51">
        <w:rPr>
          <w:b/>
          <w:bCs/>
          <w:color w:val="000000" w:themeColor="text1"/>
        </w:rPr>
        <w:t>Emotional and intellectual impact</w:t>
      </w:r>
    </w:p>
    <w:p w14:paraId="30D99BED" w14:textId="03468147" w:rsidR="00381A1C" w:rsidRPr="00381A1C" w:rsidRDefault="00381A1C" w:rsidP="00567E51">
      <w:pPr>
        <w:pStyle w:val="NormalWeb"/>
        <w:spacing w:before="0" w:beforeAutospacing="0" w:after="0" w:afterAutospacing="0" w:line="480" w:lineRule="auto"/>
        <w:ind w:firstLine="720"/>
        <w:rPr>
          <w:color w:val="000000" w:themeColor="text1"/>
        </w:rPr>
      </w:pPr>
      <w:r w:rsidRPr="00381A1C">
        <w:rPr>
          <w:color w:val="000000" w:themeColor="text1"/>
        </w:rPr>
        <w:t xml:space="preserve">The emotional resonance of the epic arises from its candid portrayal of grief, fear, and hope. Gilgamesh’s mourning for Enkidu and his confrontation with mortality evoke empathy and profound reflection on human vulnerability (Getty et al., 2020). The poem’s narrative structure balances heroic exploits with moments of personal sorrow, engaging readers intellectually and emotionally. The flood narrative, recounted by Utnapishtim, adds a cosmic dimension, connecting individual fate to divine will and universal order (Getty et al., 2020). </w:t>
      </w:r>
      <w:r w:rsidRPr="00381A1C">
        <w:rPr>
          <w:color w:val="000000" w:themeColor="text1"/>
        </w:rPr>
        <w:lastRenderedPageBreak/>
        <w:t>Branscumb (2024b) identifies emotional impact as a key element of poetry analysis, and “The Epic of Gilgamesh” effectively stimulates both feeling and thought in its audience.</w:t>
      </w:r>
    </w:p>
    <w:p w14:paraId="51899CF8" w14:textId="42DA32EC" w:rsidR="00381A1C" w:rsidRPr="00567E51" w:rsidRDefault="00381A1C" w:rsidP="00381A1C">
      <w:pPr>
        <w:pStyle w:val="NormalWeb"/>
        <w:spacing w:before="0" w:beforeAutospacing="0" w:after="0" w:afterAutospacing="0" w:line="480" w:lineRule="auto"/>
        <w:rPr>
          <w:b/>
          <w:bCs/>
          <w:color w:val="000000" w:themeColor="text1"/>
        </w:rPr>
      </w:pPr>
      <w:r w:rsidRPr="00567E51">
        <w:rPr>
          <w:b/>
          <w:bCs/>
          <w:color w:val="000000" w:themeColor="text1"/>
        </w:rPr>
        <w:t>Conclusion</w:t>
      </w:r>
    </w:p>
    <w:p w14:paraId="77A529F7" w14:textId="2A2FB52E" w:rsidR="00381A1C" w:rsidRDefault="00381A1C" w:rsidP="00567E51">
      <w:pPr>
        <w:pStyle w:val="NormalWeb"/>
        <w:spacing w:before="0" w:beforeAutospacing="0" w:after="0" w:afterAutospacing="0" w:line="480" w:lineRule="auto"/>
        <w:ind w:firstLine="720"/>
        <w:rPr>
          <w:color w:val="000000" w:themeColor="text1"/>
        </w:rPr>
      </w:pPr>
      <w:r w:rsidRPr="00381A1C">
        <w:rPr>
          <w:color w:val="000000" w:themeColor="text1"/>
        </w:rPr>
        <w:t>In conclusion, “The Epic of Gilgamesh” exemplifies the epic poetic form through its grand narrative and profound themes. The poem’s exploration of mortality and friendship, conveyed through rich language and compelling imagery, continues to resonate across millennia. Employing established criteria for poetry analysis highlights its enduring literary and human value. This epic not only captures Mesopotamian cultural identity but also offers timeless insights into the human experience</w:t>
      </w:r>
      <w:r>
        <w:rPr>
          <w:color w:val="000000" w:themeColor="text1"/>
        </w:rPr>
        <w:t>.</w:t>
      </w:r>
    </w:p>
    <w:p w14:paraId="286D3E41" w14:textId="77777777" w:rsidR="008129FF" w:rsidRDefault="008129FF" w:rsidP="008129FF">
      <w:pPr>
        <w:pStyle w:val="NormalWeb"/>
        <w:spacing w:after="0"/>
        <w:rPr>
          <w:color w:val="000000" w:themeColor="text1"/>
        </w:rPr>
      </w:pPr>
    </w:p>
    <w:p w14:paraId="7BD7565C" w14:textId="77777777" w:rsidR="00567E51" w:rsidRDefault="00567E51" w:rsidP="008129FF">
      <w:pPr>
        <w:pStyle w:val="NormalWeb"/>
        <w:spacing w:after="0"/>
        <w:rPr>
          <w:color w:val="000000" w:themeColor="text1"/>
        </w:rPr>
      </w:pPr>
    </w:p>
    <w:p w14:paraId="4ECD70DE" w14:textId="77777777" w:rsidR="00567E51" w:rsidRDefault="00567E51" w:rsidP="008129FF">
      <w:pPr>
        <w:pStyle w:val="NormalWeb"/>
        <w:spacing w:after="0"/>
        <w:rPr>
          <w:color w:val="000000" w:themeColor="text1"/>
        </w:rPr>
      </w:pPr>
    </w:p>
    <w:p w14:paraId="700EEF09" w14:textId="77777777" w:rsidR="00567E51" w:rsidRDefault="00567E51" w:rsidP="008129FF">
      <w:pPr>
        <w:pStyle w:val="NormalWeb"/>
        <w:spacing w:after="0"/>
        <w:rPr>
          <w:color w:val="000000" w:themeColor="text1"/>
        </w:rPr>
      </w:pPr>
    </w:p>
    <w:p w14:paraId="5FE97B78" w14:textId="77777777" w:rsidR="00567E51" w:rsidRDefault="00567E51" w:rsidP="008129FF">
      <w:pPr>
        <w:pStyle w:val="NormalWeb"/>
        <w:spacing w:after="0"/>
        <w:rPr>
          <w:color w:val="000000" w:themeColor="text1"/>
        </w:rPr>
      </w:pPr>
    </w:p>
    <w:p w14:paraId="7E626D39" w14:textId="77777777" w:rsidR="00567E51" w:rsidRDefault="00567E51" w:rsidP="008129FF">
      <w:pPr>
        <w:pStyle w:val="NormalWeb"/>
        <w:spacing w:after="0"/>
        <w:rPr>
          <w:color w:val="000000" w:themeColor="text1"/>
        </w:rPr>
      </w:pPr>
    </w:p>
    <w:p w14:paraId="5BD263BD" w14:textId="77777777" w:rsidR="00567E51" w:rsidRDefault="00567E51" w:rsidP="008129FF">
      <w:pPr>
        <w:pStyle w:val="NormalWeb"/>
        <w:spacing w:after="0"/>
        <w:rPr>
          <w:color w:val="000000" w:themeColor="text1"/>
        </w:rPr>
      </w:pPr>
    </w:p>
    <w:p w14:paraId="61842D66" w14:textId="77777777" w:rsidR="00567E51" w:rsidRDefault="00567E51" w:rsidP="008129FF">
      <w:pPr>
        <w:pStyle w:val="NormalWeb"/>
        <w:spacing w:after="0"/>
        <w:rPr>
          <w:color w:val="000000" w:themeColor="text1"/>
        </w:rPr>
      </w:pPr>
    </w:p>
    <w:p w14:paraId="5C201E98" w14:textId="77777777" w:rsidR="00567E51" w:rsidRDefault="00567E51" w:rsidP="008129FF">
      <w:pPr>
        <w:pStyle w:val="NormalWeb"/>
        <w:spacing w:after="0"/>
        <w:rPr>
          <w:color w:val="000000" w:themeColor="text1"/>
        </w:rPr>
      </w:pPr>
    </w:p>
    <w:p w14:paraId="2E2A3D49" w14:textId="77777777" w:rsidR="00567E51" w:rsidRDefault="00567E51" w:rsidP="008129FF">
      <w:pPr>
        <w:pStyle w:val="NormalWeb"/>
        <w:spacing w:after="0"/>
        <w:rPr>
          <w:color w:val="000000" w:themeColor="text1"/>
        </w:rPr>
      </w:pPr>
    </w:p>
    <w:p w14:paraId="6BABC511" w14:textId="77777777" w:rsidR="00567E51" w:rsidRDefault="00567E51" w:rsidP="008129FF">
      <w:pPr>
        <w:pStyle w:val="NormalWeb"/>
        <w:spacing w:after="0"/>
        <w:rPr>
          <w:color w:val="000000" w:themeColor="text1"/>
        </w:rPr>
      </w:pPr>
    </w:p>
    <w:p w14:paraId="10BBA7E3" w14:textId="77777777" w:rsidR="00567E51" w:rsidRDefault="00567E51" w:rsidP="008129FF">
      <w:pPr>
        <w:pStyle w:val="NormalWeb"/>
        <w:spacing w:after="0"/>
        <w:rPr>
          <w:color w:val="000000" w:themeColor="text1"/>
        </w:rPr>
      </w:pPr>
    </w:p>
    <w:p w14:paraId="3192A21C" w14:textId="77777777" w:rsidR="00567E51" w:rsidRDefault="00567E51" w:rsidP="008129FF">
      <w:pPr>
        <w:pStyle w:val="NormalWeb"/>
        <w:spacing w:after="0"/>
        <w:rPr>
          <w:color w:val="000000" w:themeColor="text1"/>
        </w:rPr>
      </w:pPr>
    </w:p>
    <w:p w14:paraId="0437AD77" w14:textId="77777777" w:rsidR="00567E51" w:rsidRDefault="00567E51" w:rsidP="008129FF">
      <w:pPr>
        <w:pStyle w:val="NormalWeb"/>
        <w:spacing w:after="0"/>
        <w:rPr>
          <w:color w:val="000000" w:themeColor="text1"/>
        </w:rPr>
      </w:pPr>
    </w:p>
    <w:p w14:paraId="787AE9F8" w14:textId="77777777" w:rsidR="00567E51" w:rsidRDefault="00567E51" w:rsidP="008129FF">
      <w:pPr>
        <w:pStyle w:val="NormalWeb"/>
        <w:spacing w:after="0"/>
        <w:rPr>
          <w:color w:val="000000" w:themeColor="text1"/>
        </w:rPr>
      </w:pPr>
    </w:p>
    <w:p w14:paraId="1B52D0F3" w14:textId="77777777" w:rsidR="00567E51" w:rsidRPr="008129FF" w:rsidRDefault="00567E51" w:rsidP="008129FF">
      <w:pPr>
        <w:pStyle w:val="NormalWeb"/>
        <w:spacing w:after="0"/>
        <w:rPr>
          <w:color w:val="000000" w:themeColor="text1"/>
        </w:rPr>
      </w:pPr>
    </w:p>
    <w:p w14:paraId="6EA87218" w14:textId="17C64813" w:rsidR="008129FF" w:rsidRPr="00567E51" w:rsidRDefault="008129FF" w:rsidP="00567E51">
      <w:pPr>
        <w:pStyle w:val="NormalWeb"/>
        <w:spacing w:before="0" w:beforeAutospacing="0" w:after="0"/>
        <w:jc w:val="center"/>
        <w:rPr>
          <w:color w:val="000000" w:themeColor="text1"/>
        </w:rPr>
      </w:pPr>
      <w:r w:rsidRPr="00567E51">
        <w:rPr>
          <w:color w:val="000000" w:themeColor="text1"/>
        </w:rPr>
        <w:lastRenderedPageBreak/>
        <w:t>References</w:t>
      </w:r>
    </w:p>
    <w:p w14:paraId="71895194" w14:textId="307E5EDB" w:rsidR="00381A1C" w:rsidRPr="00567E51" w:rsidRDefault="00381A1C" w:rsidP="00567E51">
      <w:pPr>
        <w:pStyle w:val="NormalWeb"/>
        <w:spacing w:before="0" w:beforeAutospacing="0" w:after="0" w:afterAutospacing="0" w:line="480" w:lineRule="auto"/>
        <w:ind w:left="720" w:hanging="720"/>
      </w:pPr>
      <w:r w:rsidRPr="00567E51">
        <w:rPr>
          <w:color w:val="1D2125"/>
          <w:shd w:val="clear" w:color="auto" w:fill="FFFFFF"/>
        </w:rPr>
        <w:t>Branscumb, M. (2024b). </w:t>
      </w:r>
      <w:r w:rsidRPr="00567E51">
        <w:rPr>
          <w:rStyle w:val="Emphasis"/>
          <w:rFonts w:eastAsiaTheme="majorEastAsia"/>
          <w:color w:val="1D2125"/>
          <w:shd w:val="clear" w:color="auto" w:fill="FFFFFF"/>
        </w:rPr>
        <w:t>Essentials for writing critical analysis of poetry</w:t>
      </w:r>
      <w:r w:rsidRPr="00567E51">
        <w:rPr>
          <w:color w:val="1D2125"/>
          <w:shd w:val="clear" w:color="auto" w:fill="FFFFFF"/>
        </w:rPr>
        <w:t> [PDF]. University of the People. </w:t>
      </w:r>
      <w:hyperlink r:id="rId7" w:tgtFrame="_blank" w:history="1">
        <w:r w:rsidRPr="00567E51">
          <w:rPr>
            <w:rStyle w:val="Hyperlink"/>
            <w:rFonts w:eastAsiaTheme="majorEastAsia"/>
            <w:color w:val="E90172"/>
            <w:shd w:val="clear" w:color="auto" w:fill="FFFFFF"/>
          </w:rPr>
          <w:t>Essentials for Writing Critical Analysis of Poetry.pdf</w:t>
        </w:r>
      </w:hyperlink>
    </w:p>
    <w:p w14:paraId="05627346" w14:textId="0A5C6738" w:rsidR="00381A1C" w:rsidRPr="00567E51" w:rsidRDefault="00381A1C" w:rsidP="00567E51">
      <w:pPr>
        <w:pStyle w:val="NormalWeb"/>
        <w:spacing w:before="0" w:beforeAutospacing="0" w:after="0" w:afterAutospacing="0" w:line="480" w:lineRule="auto"/>
        <w:ind w:left="720" w:hanging="720"/>
        <w:rPr>
          <w:color w:val="000000" w:themeColor="text1"/>
        </w:rPr>
      </w:pPr>
      <w:r w:rsidRPr="00567E51">
        <w:rPr>
          <w:color w:val="1D2125"/>
          <w:shd w:val="clear" w:color="auto" w:fill="FFFFFF"/>
        </w:rPr>
        <w:t>Getty, L., Kwon, K., Kelley, R., &amp; Thomson, D. (2020). </w:t>
      </w:r>
      <w:r w:rsidRPr="00567E51">
        <w:rPr>
          <w:rFonts w:eastAsiaTheme="majorEastAsia"/>
          <w:shd w:val="clear" w:color="auto" w:fill="FFFFFF"/>
        </w:rPr>
        <w:t>World Literature I: Beginnings to 1650</w:t>
      </w:r>
      <w:r w:rsidRPr="00567E51">
        <w:rPr>
          <w:color w:val="1D2125"/>
          <w:shd w:val="clear" w:color="auto" w:fill="FFFFFF"/>
        </w:rPr>
        <w:t>. In </w:t>
      </w:r>
      <w:r w:rsidRPr="00567E51">
        <w:rPr>
          <w:rStyle w:val="Emphasis"/>
          <w:rFonts w:eastAsiaTheme="majorEastAsia"/>
          <w:color w:val="1D2125"/>
          <w:shd w:val="clear" w:color="auto" w:fill="FFFFFF"/>
        </w:rPr>
        <w:t>Open ALG</w:t>
      </w:r>
      <w:r w:rsidRPr="00567E51">
        <w:rPr>
          <w:color w:val="1D2125"/>
          <w:shd w:val="clear" w:color="auto" w:fill="FFFFFF"/>
        </w:rPr>
        <w:t>. University System of Georgia, University Press of North Georgia. </w:t>
      </w:r>
      <w:hyperlink r:id="rId8" w:tgtFrame="_blank" w:history="1">
        <w:r w:rsidRPr="00567E51">
          <w:rPr>
            <w:rStyle w:val="Hyperlink"/>
            <w:rFonts w:eastAsiaTheme="majorEastAsia"/>
            <w:color w:val="E90172"/>
            <w:shd w:val="clear" w:color="auto" w:fill="FFFFFF"/>
          </w:rPr>
          <w:t>https://alg.manifoldapp.org/projects/world-literature-i</w:t>
        </w:r>
      </w:hyperlink>
    </w:p>
    <w:p w14:paraId="799C9D43" w14:textId="77777777" w:rsidR="00E71FF6" w:rsidRDefault="00E71FF6" w:rsidP="0032096F">
      <w:pPr>
        <w:pStyle w:val="NormalWeb"/>
        <w:spacing w:before="0" w:beforeAutospacing="0" w:after="0" w:afterAutospacing="0" w:line="480" w:lineRule="auto"/>
        <w:rPr>
          <w:color w:val="000000" w:themeColor="text1"/>
        </w:rPr>
      </w:pPr>
    </w:p>
    <w:p w14:paraId="1E1E7EC3" w14:textId="77777777" w:rsidR="00E71FF6" w:rsidRDefault="00E71FF6" w:rsidP="0032096F">
      <w:pPr>
        <w:pStyle w:val="NormalWeb"/>
        <w:spacing w:before="0" w:beforeAutospacing="0" w:after="0" w:afterAutospacing="0" w:line="480" w:lineRule="auto"/>
        <w:rPr>
          <w:color w:val="000000" w:themeColor="text1"/>
        </w:rPr>
      </w:pPr>
    </w:p>
    <w:p w14:paraId="5E1EB5EA" w14:textId="77777777" w:rsidR="00E71FF6" w:rsidRDefault="00E71FF6" w:rsidP="0032096F">
      <w:pPr>
        <w:pStyle w:val="NormalWeb"/>
        <w:spacing w:before="0" w:beforeAutospacing="0" w:after="0" w:afterAutospacing="0" w:line="480" w:lineRule="auto"/>
        <w:rPr>
          <w:color w:val="000000" w:themeColor="text1"/>
        </w:rPr>
      </w:pPr>
    </w:p>
    <w:p w14:paraId="37223D94" w14:textId="77777777" w:rsidR="00E71FF6" w:rsidRDefault="00E71FF6" w:rsidP="0032096F">
      <w:pPr>
        <w:pStyle w:val="NormalWeb"/>
        <w:spacing w:before="0" w:beforeAutospacing="0" w:after="0" w:afterAutospacing="0" w:line="480" w:lineRule="auto"/>
        <w:rPr>
          <w:color w:val="000000" w:themeColor="text1"/>
        </w:rPr>
      </w:pPr>
    </w:p>
    <w:p w14:paraId="3E7C145A" w14:textId="77777777" w:rsidR="00E71FF6" w:rsidRDefault="00E71FF6" w:rsidP="0032096F">
      <w:pPr>
        <w:pStyle w:val="NormalWeb"/>
        <w:spacing w:before="0" w:beforeAutospacing="0" w:after="0" w:afterAutospacing="0" w:line="480" w:lineRule="auto"/>
        <w:rPr>
          <w:color w:val="000000" w:themeColor="text1"/>
        </w:rPr>
      </w:pPr>
    </w:p>
    <w:p w14:paraId="70A3C297" w14:textId="77777777" w:rsidR="00E71FF6" w:rsidRDefault="00E71FF6" w:rsidP="0032096F">
      <w:pPr>
        <w:pStyle w:val="NormalWeb"/>
        <w:spacing w:before="0" w:beforeAutospacing="0" w:after="0" w:afterAutospacing="0" w:line="480" w:lineRule="auto"/>
        <w:rPr>
          <w:color w:val="000000" w:themeColor="text1"/>
        </w:rPr>
      </w:pPr>
    </w:p>
    <w:p w14:paraId="790D4B77" w14:textId="77777777" w:rsidR="004E4643" w:rsidRDefault="004E4643" w:rsidP="0032096F">
      <w:pPr>
        <w:pStyle w:val="NormalWeb"/>
        <w:spacing w:before="0" w:beforeAutospacing="0" w:after="0" w:afterAutospacing="0" w:line="480" w:lineRule="auto"/>
        <w:rPr>
          <w:color w:val="000000" w:themeColor="text1"/>
        </w:rPr>
      </w:pPr>
    </w:p>
    <w:p w14:paraId="42564598" w14:textId="71280C9E" w:rsidR="00A300EA" w:rsidRPr="0032096F" w:rsidRDefault="00A300EA">
      <w:pPr>
        <w:spacing w:after="0"/>
        <w:rPr>
          <w:rFonts w:ascii="Times New Roman" w:hAnsi="Times New Roman" w:cs="Times New Roman"/>
          <w:color w:val="000000" w:themeColor="text1"/>
          <w:sz w:val="24"/>
          <w:szCs w:val="24"/>
        </w:rPr>
      </w:pPr>
    </w:p>
    <w:sectPr w:rsidR="00A300EA" w:rsidRPr="0032096F">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88609" w14:textId="77777777" w:rsidR="00DC1654" w:rsidRDefault="00DC1654" w:rsidP="00302292">
      <w:pPr>
        <w:spacing w:after="0" w:line="240" w:lineRule="auto"/>
      </w:pPr>
      <w:r>
        <w:separator/>
      </w:r>
    </w:p>
  </w:endnote>
  <w:endnote w:type="continuationSeparator" w:id="0">
    <w:p w14:paraId="1D8DD07A" w14:textId="77777777" w:rsidR="00DC1654" w:rsidRDefault="00DC1654" w:rsidP="00302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DEC9B" w14:textId="77777777" w:rsidR="00DC1654" w:rsidRDefault="00DC1654" w:rsidP="00302292">
      <w:pPr>
        <w:spacing w:after="0" w:line="240" w:lineRule="auto"/>
      </w:pPr>
      <w:r>
        <w:separator/>
      </w:r>
    </w:p>
  </w:footnote>
  <w:footnote w:type="continuationSeparator" w:id="0">
    <w:p w14:paraId="2F13E1B4" w14:textId="77777777" w:rsidR="00DC1654" w:rsidRDefault="00DC1654" w:rsidP="003022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456638"/>
    <w:multiLevelType w:val="multilevel"/>
    <w:tmpl w:val="9760C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8D47D1"/>
    <w:multiLevelType w:val="multilevel"/>
    <w:tmpl w:val="DCB2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 w:numId="2" w16cid:durableId="721372003">
    <w:abstractNumId w:val="1"/>
  </w:num>
  <w:num w:numId="3" w16cid:durableId="1935673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0716E9"/>
    <w:rsid w:val="000D18AD"/>
    <w:rsid w:val="00121B23"/>
    <w:rsid w:val="001D7B42"/>
    <w:rsid w:val="002268E1"/>
    <w:rsid w:val="00292553"/>
    <w:rsid w:val="00302292"/>
    <w:rsid w:val="0032096F"/>
    <w:rsid w:val="00381A1C"/>
    <w:rsid w:val="004419DC"/>
    <w:rsid w:val="004421DA"/>
    <w:rsid w:val="0047095B"/>
    <w:rsid w:val="004D1099"/>
    <w:rsid w:val="004E4643"/>
    <w:rsid w:val="004E77EC"/>
    <w:rsid w:val="00533041"/>
    <w:rsid w:val="00567E51"/>
    <w:rsid w:val="005D6361"/>
    <w:rsid w:val="0060152E"/>
    <w:rsid w:val="0063534D"/>
    <w:rsid w:val="00655AC8"/>
    <w:rsid w:val="00772062"/>
    <w:rsid w:val="00785CC1"/>
    <w:rsid w:val="008129FF"/>
    <w:rsid w:val="00827EB9"/>
    <w:rsid w:val="008F0765"/>
    <w:rsid w:val="008F5E2A"/>
    <w:rsid w:val="009D103B"/>
    <w:rsid w:val="009E5940"/>
    <w:rsid w:val="00A300EA"/>
    <w:rsid w:val="00A35799"/>
    <w:rsid w:val="00A85D90"/>
    <w:rsid w:val="00AB239F"/>
    <w:rsid w:val="00AE0E21"/>
    <w:rsid w:val="00B4226B"/>
    <w:rsid w:val="00B75844"/>
    <w:rsid w:val="00B804B7"/>
    <w:rsid w:val="00BB303F"/>
    <w:rsid w:val="00C35DC7"/>
    <w:rsid w:val="00C52066"/>
    <w:rsid w:val="00C949F5"/>
    <w:rsid w:val="00CA0B8E"/>
    <w:rsid w:val="00D13054"/>
    <w:rsid w:val="00D323BE"/>
    <w:rsid w:val="00D76D23"/>
    <w:rsid w:val="00D76F54"/>
    <w:rsid w:val="00DC1654"/>
    <w:rsid w:val="00E71FF6"/>
    <w:rsid w:val="00EB6FA0"/>
    <w:rsid w:val="00F51343"/>
    <w:rsid w:val="00F75572"/>
    <w:rsid w:val="00FA3711"/>
    <w:rsid w:val="00FE6E3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785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g.manifoldapp.org/projects/world-literature-i" TargetMode="External"/><Relationship Id="rId3" Type="http://schemas.openxmlformats.org/officeDocument/2006/relationships/settings" Target="settings.xml"/><Relationship Id="rId7" Type="http://schemas.openxmlformats.org/officeDocument/2006/relationships/hyperlink" Target="https://my.uopeople.edu/pluginfile.php/2127802/mod_book/chapter/622821/Essentials%20for%20Writing%20Critical%20Analysis%20of%20Poetry.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TotalTime>
  <Pages>5</Pages>
  <Words>745</Words>
  <Characters>4599</Characters>
  <Application>Microsoft Office Word</Application>
  <DocSecurity>0</DocSecurity>
  <Lines>102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Okoth Ouma</cp:lastModifiedBy>
  <cp:revision>3</cp:revision>
  <dcterms:created xsi:type="dcterms:W3CDTF">2026-02-25T21:43:00Z</dcterms:created>
  <dcterms:modified xsi:type="dcterms:W3CDTF">2026-02-25T22:20:00Z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