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BBCDB" w14:textId="7779EE95" w:rsidR="0055528D" w:rsidRPr="00E9184C" w:rsidRDefault="0055528D" w:rsidP="00E9184C">
      <w:pPr>
        <w:autoSpaceDE w:val="0"/>
        <w:autoSpaceDN w:val="0"/>
        <w:adjustRightInd w:val="0"/>
        <w:spacing w:after="0"/>
        <w:ind w:left="0" w:right="0"/>
        <w:jc w:val="center"/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</w:pP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Form and Characterization in The Tale of Genji and The Ninth Story</w:t>
      </w:r>
    </w:p>
    <w:p w14:paraId="13F91213" w14:textId="77777777" w:rsidR="0055528D" w:rsidRPr="00E9184C" w:rsidRDefault="0055528D" w:rsidP="00E9184C">
      <w:pPr>
        <w:autoSpaceDE w:val="0"/>
        <w:autoSpaceDN w:val="0"/>
        <w:adjustRightInd w:val="0"/>
        <w:spacing w:after="0"/>
        <w:ind w:left="0" w:right="0"/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</w:pP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Introduction</w:t>
      </w:r>
    </w:p>
    <w:p w14:paraId="3FFA5B09" w14:textId="6B308F48" w:rsidR="0055528D" w:rsidRPr="0055528D" w:rsidRDefault="0055528D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This essay explores the literary form and characterization techniques used in The Tale of Genji, a novel by Murasaki Shikibu, and The Ninth Story, a short story from Boccaccio’s The Decameron. </w:t>
      </w:r>
      <w:r>
        <w:rPr>
          <w:rFonts w:ascii="Times New Roman" w:hAnsi="Times New Roman" w:cs="Times New Roman"/>
          <w:color w:val="000000" w:themeColor="text1"/>
          <w:kern w:val="0"/>
          <w:lang w:val="en-GB"/>
        </w:rPr>
        <w:t>T</w:t>
      </w:r>
      <w:r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he essay discusses the novel’s form and key features, </w:t>
      </w:r>
      <w:proofErr w:type="spellStart"/>
      <w:r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>analyzes</w:t>
      </w:r>
      <w:proofErr w:type="spellEnd"/>
      <w:r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 a character from the short story, and compares the approaches to characterization in both works.</w:t>
      </w:r>
    </w:p>
    <w:p w14:paraId="028348C8" w14:textId="7DCF7524" w:rsidR="0055528D" w:rsidRPr="00E9184C" w:rsidRDefault="0055528D" w:rsidP="00E9184C">
      <w:pPr>
        <w:autoSpaceDE w:val="0"/>
        <w:autoSpaceDN w:val="0"/>
        <w:adjustRightInd w:val="0"/>
        <w:spacing w:after="0"/>
        <w:ind w:left="0" w:right="0"/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</w:pP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 xml:space="preserve">The Tale of Genji: Form </w:t>
      </w: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and key features</w:t>
      </w:r>
    </w:p>
    <w:p w14:paraId="018BD256" w14:textId="77777777" w:rsidR="0055528D" w:rsidRPr="0055528D" w:rsidRDefault="0055528D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>The Tale of Genji is widely regarded as the world’s first novel, composed in early 11th-century Japan by Murasaki Shikibu (Getty et al., 2020). It adheres to the form of a monogatari, a long Japanese fictional narrative combining prose and poetry. This novelistic form is characterized by the following features:</w:t>
      </w:r>
    </w:p>
    <w:p w14:paraId="6C10F121" w14:textId="31D64D4F" w:rsidR="0055528D" w:rsidRPr="00E9184C" w:rsidRDefault="0055528D" w:rsidP="00E9184C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/>
        <w:ind w:right="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 xml:space="preserve">Length and </w:t>
      </w:r>
      <w:r w:rsidR="00E9184C"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s</w:t>
      </w: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tructure:</w:t>
      </w:r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 The work spans fifty-four chapters, forming an extensive narrative arc that follows the life and legacy of Prince Genji (Getty et al., 2020, p. 0-1).</w:t>
      </w:r>
    </w:p>
    <w:p w14:paraId="60FF5F30" w14:textId="76632AD7" w:rsidR="0055528D" w:rsidRPr="00E9184C" w:rsidRDefault="0055528D" w:rsidP="00E9184C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/>
        <w:ind w:right="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 xml:space="preserve">Integration of </w:t>
      </w:r>
      <w:r w:rsidR="00E9184C"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p</w:t>
      </w: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oetry:</w:t>
      </w:r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 The novel includes approximately eight hundred waka poems</w:t>
      </w:r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, </w:t>
      </w:r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>31-syllable courtly poems</w:t>
      </w:r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, </w:t>
      </w:r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>that are interwoven with the prose, enriching the narrative with emotional depth and cultural context.</w:t>
      </w:r>
    </w:p>
    <w:p w14:paraId="3FF3AA4D" w14:textId="11A54E41" w:rsidR="0055528D" w:rsidRPr="00E9184C" w:rsidRDefault="0055528D" w:rsidP="00E9184C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/>
        <w:ind w:right="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 xml:space="preserve">Focus on Aristocratic </w:t>
      </w: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c</w:t>
      </w: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ulture:</w:t>
      </w:r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 The story vividly illustrates the refined court life of Heian Japan, emphasizing aesthetics, social rituals, and the emotional subtleties of its aristocratic characters.</w:t>
      </w:r>
    </w:p>
    <w:p w14:paraId="01D91B1A" w14:textId="60B933DE" w:rsidR="0055528D" w:rsidRPr="00E9184C" w:rsidRDefault="0055528D" w:rsidP="00E9184C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/>
        <w:ind w:right="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 xml:space="preserve">Psychological and </w:t>
      </w: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emotional depth</w:t>
      </w: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:</w:t>
      </w:r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 Unlike earlier prose, which was considered inferior to poetry, The Tale of Genji employs graceful prose to depict complex human emotions, relationships, and natural beauty, marking a significant development in literary form (Getty et al., 2020).</w:t>
      </w:r>
    </w:p>
    <w:p w14:paraId="00F160BB" w14:textId="0EDCE1A2" w:rsidR="0055528D" w:rsidRPr="00E9184C" w:rsidRDefault="0055528D" w:rsidP="00E9184C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/>
        <w:ind w:right="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lastRenderedPageBreak/>
        <w:t>Character-</w:t>
      </w: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driven but plot-oriented</w:t>
      </w: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:</w:t>
      </w:r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 While the novel explores the inner lives and sentiments of characters, the narrative remains driven by events and social interactions, consistent with early novelistic traditions.</w:t>
      </w:r>
    </w:p>
    <w:p w14:paraId="17C4C2AB" w14:textId="40F5AE86" w:rsidR="0055528D" w:rsidRPr="0055528D" w:rsidRDefault="0055528D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>Thus, The Tale of Genji exemplifies a sophisticated blend of poetic and narrative elements, focusing on elite society’s interpersonal dynamics through a serialized, episodic format.</w:t>
      </w:r>
    </w:p>
    <w:p w14:paraId="726CCE91" w14:textId="13390BA7" w:rsidR="0055528D" w:rsidRPr="00E9184C" w:rsidRDefault="0055528D" w:rsidP="00E9184C">
      <w:pPr>
        <w:autoSpaceDE w:val="0"/>
        <w:autoSpaceDN w:val="0"/>
        <w:adjustRightInd w:val="0"/>
        <w:spacing w:after="0"/>
        <w:ind w:left="0" w:right="0"/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</w:pP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 xml:space="preserve">Character </w:t>
      </w: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a</w:t>
      </w: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nalysis in The Ninth Story</w:t>
      </w:r>
    </w:p>
    <w:p w14:paraId="533D9692" w14:textId="77777777" w:rsidR="0055528D" w:rsidRPr="0055528D" w:rsidRDefault="0055528D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>The Ninth Story, a short story from Boccaccio’s The Decameron, presents characters shaped by succinct but vivid characterization, typical of the short story form’s brevity and focus (Getty et al., 2020, p. 34-38). One prominent character is Federigo degli Alberighi, whose portrayal reveals key aspects:</w:t>
      </w:r>
    </w:p>
    <w:p w14:paraId="38F3539D" w14:textId="77777777" w:rsidR="00E9184C" w:rsidRPr="00E9184C" w:rsidRDefault="0055528D" w:rsidP="00E9184C">
      <w:pPr>
        <w:pStyle w:val="ListParagraph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/>
        <w:ind w:right="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 xml:space="preserve">Direct </w:t>
      </w:r>
      <w:r w:rsidR="00E9184C"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c</w:t>
      </w: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haracterization:</w:t>
      </w:r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 Federigo is introduced as a nobleman who “</w:t>
      </w:r>
      <w:proofErr w:type="spellStart"/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>wasteth</w:t>
      </w:r>
      <w:proofErr w:type="spellEnd"/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 his substance in prodigal hospitality” for love, highlighting his generosity and romantic idealism (Getty et al., 2020, p. 34).</w:t>
      </w:r>
    </w:p>
    <w:p w14:paraId="5EEABA18" w14:textId="17086ABB" w:rsidR="0055528D" w:rsidRPr="00E9184C" w:rsidRDefault="0055528D" w:rsidP="00E9184C">
      <w:pPr>
        <w:pStyle w:val="ListParagraph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/>
        <w:ind w:right="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 xml:space="preserve">Character </w:t>
      </w:r>
      <w:r w:rsidR="00E9184C"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through actions</w:t>
      </w: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:</w:t>
      </w:r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 His ultimate sacrifice</w:t>
      </w:r>
      <w:r w:rsidR="00E9184C"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, such as </w:t>
      </w:r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>killing his sole remaining falcon to feed his beloved</w:t>
      </w:r>
      <w:r w:rsidR="00E9184C"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, </w:t>
      </w:r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demonstrates devotion and selflessness, traits that define his character implicitly through </w:t>
      </w:r>
      <w:proofErr w:type="spellStart"/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>behavior</w:t>
      </w:r>
      <w:proofErr w:type="spellEnd"/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 rather than exposition.</w:t>
      </w:r>
    </w:p>
    <w:p w14:paraId="6DF21171" w14:textId="17BEDC00" w:rsidR="0055528D" w:rsidRPr="00E9184C" w:rsidRDefault="0055528D" w:rsidP="00E9184C">
      <w:pPr>
        <w:pStyle w:val="ListParagraph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/>
        <w:ind w:right="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 xml:space="preserve">Emotional </w:t>
      </w:r>
      <w:r w:rsidR="00E9184C"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c</w:t>
      </w: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omplexity:</w:t>
      </w:r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 Despite his poverty, Federigo maintains dignity and warmth, evoking sympathy and admiration, which adds psychological nuance to his figure.</w:t>
      </w:r>
    </w:p>
    <w:p w14:paraId="7A941D60" w14:textId="03D6CE83" w:rsidR="0055528D" w:rsidRPr="00E9184C" w:rsidRDefault="0055528D" w:rsidP="00E9184C">
      <w:pPr>
        <w:pStyle w:val="ListParagraph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/>
        <w:ind w:right="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 xml:space="preserve">Development and </w:t>
      </w:r>
      <w:r w:rsidR="00E9184C"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c</w:t>
      </w: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hange:</w:t>
      </w:r>
      <w:r w:rsidRPr="00E9184C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 The narrative arc shows Federigo’s fall from wealth and subsequent redemption through marriage, illustrating growth and resilience within a limited narrative space.</w:t>
      </w:r>
    </w:p>
    <w:p w14:paraId="3C9FAD16" w14:textId="6641E733" w:rsidR="0055528D" w:rsidRPr="0055528D" w:rsidRDefault="0055528D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>Thus, characterization in The Ninth Story is crafted primarily through indirect means</w:t>
      </w:r>
      <w:r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 such as </w:t>
      </w:r>
      <w:r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>actions, decisions, and narrative consequences</w:t>
      </w:r>
      <w:r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, </w:t>
      </w:r>
      <w:r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>conveying a fully realized character within the economy of the short story form.</w:t>
      </w:r>
    </w:p>
    <w:p w14:paraId="54BFF790" w14:textId="3EF0C529" w:rsidR="0055528D" w:rsidRPr="00E9184C" w:rsidRDefault="0055528D" w:rsidP="00E9184C">
      <w:pPr>
        <w:autoSpaceDE w:val="0"/>
        <w:autoSpaceDN w:val="0"/>
        <w:adjustRightInd w:val="0"/>
        <w:spacing w:after="0"/>
        <w:ind w:left="0" w:right="0"/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</w:pP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lastRenderedPageBreak/>
        <w:t xml:space="preserve">Comparison of </w:t>
      </w: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characterization in </w:t>
      </w:r>
      <w:r w:rsidRPr="00E9184C">
        <w:rPr>
          <w:rFonts w:ascii="Times New Roman" w:hAnsi="Times New Roman" w:cs="Times New Roman"/>
          <w:b/>
          <w:bCs/>
          <w:i/>
          <w:iCs/>
          <w:color w:val="000000" w:themeColor="text1"/>
          <w:kern w:val="0"/>
          <w:lang w:val="en-GB"/>
        </w:rPr>
        <w:t>“</w:t>
      </w:r>
      <w:r w:rsidRPr="00E9184C">
        <w:rPr>
          <w:rFonts w:ascii="Times New Roman" w:hAnsi="Times New Roman" w:cs="Times New Roman"/>
          <w:b/>
          <w:bCs/>
          <w:i/>
          <w:iCs/>
          <w:color w:val="000000" w:themeColor="text1"/>
          <w:kern w:val="0"/>
          <w:lang w:val="en-GB"/>
        </w:rPr>
        <w:t>The Tale of Genji</w:t>
      </w:r>
      <w:r w:rsidRPr="00E9184C">
        <w:rPr>
          <w:rFonts w:ascii="Times New Roman" w:hAnsi="Times New Roman" w:cs="Times New Roman"/>
          <w:b/>
          <w:bCs/>
          <w:i/>
          <w:iCs/>
          <w:color w:val="000000" w:themeColor="text1"/>
          <w:kern w:val="0"/>
          <w:lang w:val="en-GB"/>
        </w:rPr>
        <w:t>”</w:t>
      </w: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 and </w:t>
      </w:r>
      <w:r w:rsidRPr="00E9184C">
        <w:rPr>
          <w:rFonts w:ascii="Times New Roman" w:hAnsi="Times New Roman" w:cs="Times New Roman"/>
          <w:b/>
          <w:bCs/>
          <w:i/>
          <w:iCs/>
          <w:color w:val="000000" w:themeColor="text1"/>
          <w:kern w:val="0"/>
          <w:lang w:val="en-GB"/>
        </w:rPr>
        <w:t>“</w:t>
      </w:r>
      <w:r w:rsidRPr="00E9184C">
        <w:rPr>
          <w:rFonts w:ascii="Times New Roman" w:hAnsi="Times New Roman" w:cs="Times New Roman"/>
          <w:b/>
          <w:bCs/>
          <w:i/>
          <w:iCs/>
          <w:color w:val="000000" w:themeColor="text1"/>
          <w:kern w:val="0"/>
          <w:lang w:val="en-GB"/>
        </w:rPr>
        <w:t>The Ninth Story</w:t>
      </w:r>
      <w:r w:rsidRPr="00E9184C">
        <w:rPr>
          <w:rFonts w:ascii="Times New Roman" w:hAnsi="Times New Roman" w:cs="Times New Roman"/>
          <w:b/>
          <w:bCs/>
          <w:i/>
          <w:iCs/>
          <w:color w:val="000000" w:themeColor="text1"/>
          <w:kern w:val="0"/>
          <w:lang w:val="en-GB"/>
        </w:rPr>
        <w:t>”</w:t>
      </w:r>
    </w:p>
    <w:p w14:paraId="63892F98" w14:textId="77777777" w:rsidR="0055528D" w:rsidRDefault="0055528D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>The approaches to characterization in The Tale of Genji and The Ninth Story differ significantly due to their respective genres and narrative scopes.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3815"/>
        <w:gridCol w:w="3295"/>
      </w:tblGrid>
      <w:tr w:rsidR="000C37BB" w14:paraId="7FAEB173" w14:textId="77777777" w:rsidTr="00CF16AC">
        <w:tc>
          <w:tcPr>
            <w:tcW w:w="3005" w:type="dxa"/>
            <w:vAlign w:val="center"/>
          </w:tcPr>
          <w:p w14:paraId="4DDF37B9" w14:textId="45E7E1E5" w:rsidR="000C37BB" w:rsidRDefault="000C37BB" w:rsidP="000C37BB">
            <w:pPr>
              <w:autoSpaceDE w:val="0"/>
              <w:autoSpaceDN w:val="0"/>
              <w:adjustRightInd w:val="0"/>
              <w:spacing w:after="0"/>
              <w:ind w:left="0" w:right="0"/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</w:pPr>
            <w:r w:rsidRPr="0055528D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lang w:val="en-GB"/>
              </w:rPr>
              <w:t>Aspect</w:t>
            </w:r>
          </w:p>
        </w:tc>
        <w:tc>
          <w:tcPr>
            <w:tcW w:w="3005" w:type="dxa"/>
            <w:vAlign w:val="center"/>
          </w:tcPr>
          <w:p w14:paraId="07698FFF" w14:textId="13EE9CA5" w:rsidR="000C37BB" w:rsidRDefault="000C37BB" w:rsidP="000C37BB">
            <w:pPr>
              <w:autoSpaceDE w:val="0"/>
              <w:autoSpaceDN w:val="0"/>
              <w:adjustRightInd w:val="0"/>
              <w:spacing w:after="0"/>
              <w:ind w:left="0" w:right="0"/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</w:pPr>
            <w:r w:rsidRPr="0055528D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lang w:val="en-GB"/>
              </w:rPr>
              <w:t>The Tale of Genji </w:t>
            </w:r>
          </w:p>
        </w:tc>
        <w:tc>
          <w:tcPr>
            <w:tcW w:w="3006" w:type="dxa"/>
            <w:vAlign w:val="center"/>
          </w:tcPr>
          <w:p w14:paraId="77C5F0AA" w14:textId="43FC2209" w:rsidR="000C37BB" w:rsidRDefault="000C37BB" w:rsidP="000C37BB">
            <w:pPr>
              <w:autoSpaceDE w:val="0"/>
              <w:autoSpaceDN w:val="0"/>
              <w:adjustRightInd w:val="0"/>
              <w:spacing w:after="0"/>
              <w:ind w:left="0" w:right="0"/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</w:pPr>
            <w:r w:rsidRPr="0055528D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lang w:val="en-GB"/>
              </w:rPr>
              <w:t>The Ninth Story </w:t>
            </w:r>
          </w:p>
        </w:tc>
      </w:tr>
      <w:tr w:rsidR="000C37BB" w14:paraId="7678C565" w14:textId="77777777" w:rsidTr="00CF16AC">
        <w:tc>
          <w:tcPr>
            <w:tcW w:w="3005" w:type="dxa"/>
            <w:vAlign w:val="center"/>
          </w:tcPr>
          <w:p w14:paraId="6BDA872E" w14:textId="3AB280AC" w:rsidR="000C37BB" w:rsidRDefault="000C37BB" w:rsidP="000C37BB">
            <w:pPr>
              <w:autoSpaceDE w:val="0"/>
              <w:autoSpaceDN w:val="0"/>
              <w:adjustRightInd w:val="0"/>
              <w:spacing w:after="0"/>
              <w:ind w:left="0" w:right="0"/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</w:pPr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>Scope and detail</w:t>
            </w:r>
          </w:p>
        </w:tc>
        <w:tc>
          <w:tcPr>
            <w:tcW w:w="3005" w:type="dxa"/>
            <w:vAlign w:val="center"/>
          </w:tcPr>
          <w:p w14:paraId="3980DA09" w14:textId="6CFF124F" w:rsidR="000C37BB" w:rsidRDefault="000C37BB" w:rsidP="000C37BB">
            <w:pPr>
              <w:autoSpaceDE w:val="0"/>
              <w:autoSpaceDN w:val="0"/>
              <w:adjustRightInd w:val="0"/>
              <w:spacing w:after="0"/>
              <w:ind w:left="0" w:right="0"/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</w:pPr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>Extensive, with long-term psychological and social development over many chapters (Getty et al., 2020).</w:t>
            </w:r>
          </w:p>
        </w:tc>
        <w:tc>
          <w:tcPr>
            <w:tcW w:w="3006" w:type="dxa"/>
            <w:vAlign w:val="center"/>
          </w:tcPr>
          <w:p w14:paraId="1F395B85" w14:textId="106E5A03" w:rsidR="000C37BB" w:rsidRDefault="000C37BB" w:rsidP="000C37BB">
            <w:pPr>
              <w:autoSpaceDE w:val="0"/>
              <w:autoSpaceDN w:val="0"/>
              <w:adjustRightInd w:val="0"/>
              <w:spacing w:after="0"/>
              <w:ind w:left="0" w:right="0"/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</w:pPr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>Condensed, focused on key traits and pivotal actions within a brief narrative (Getty et al., 2020).</w:t>
            </w:r>
          </w:p>
        </w:tc>
      </w:tr>
      <w:tr w:rsidR="000C37BB" w14:paraId="7BEC15CA" w14:textId="77777777" w:rsidTr="00CF16AC">
        <w:tc>
          <w:tcPr>
            <w:tcW w:w="3005" w:type="dxa"/>
            <w:vAlign w:val="center"/>
          </w:tcPr>
          <w:p w14:paraId="1239A9DB" w14:textId="747FDB8F" w:rsidR="000C37BB" w:rsidRDefault="000C37BB" w:rsidP="000C37BB">
            <w:pPr>
              <w:autoSpaceDE w:val="0"/>
              <w:autoSpaceDN w:val="0"/>
              <w:adjustRightInd w:val="0"/>
              <w:spacing w:after="0"/>
              <w:ind w:left="0" w:right="0"/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</w:pPr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>Method of characterization</w:t>
            </w:r>
          </w:p>
        </w:tc>
        <w:tc>
          <w:tcPr>
            <w:tcW w:w="3005" w:type="dxa"/>
            <w:vAlign w:val="center"/>
          </w:tcPr>
          <w:p w14:paraId="4935FB45" w14:textId="6816FF2C" w:rsidR="000C37BB" w:rsidRDefault="000C37BB" w:rsidP="000C37BB">
            <w:pPr>
              <w:autoSpaceDE w:val="0"/>
              <w:autoSpaceDN w:val="0"/>
              <w:adjustRightInd w:val="0"/>
              <w:spacing w:after="0"/>
              <w:ind w:left="0" w:right="0"/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</w:pPr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>Mix of direct and indirect characterization including introspection, dialogue, and nuanced social interactions.</w:t>
            </w:r>
          </w:p>
        </w:tc>
        <w:tc>
          <w:tcPr>
            <w:tcW w:w="3006" w:type="dxa"/>
            <w:vAlign w:val="center"/>
          </w:tcPr>
          <w:p w14:paraId="36F54F33" w14:textId="55482F7F" w:rsidR="000C37BB" w:rsidRDefault="000C37BB" w:rsidP="000C37BB">
            <w:pPr>
              <w:autoSpaceDE w:val="0"/>
              <w:autoSpaceDN w:val="0"/>
              <w:adjustRightInd w:val="0"/>
              <w:spacing w:after="0"/>
              <w:ind w:left="0" w:right="0"/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</w:pPr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>Mainly indirect characterization through actions and narrative consequences, with some direct exposition.</w:t>
            </w:r>
          </w:p>
        </w:tc>
      </w:tr>
      <w:tr w:rsidR="000C37BB" w14:paraId="541CAA6E" w14:textId="77777777" w:rsidTr="00CF16AC">
        <w:tc>
          <w:tcPr>
            <w:tcW w:w="3005" w:type="dxa"/>
            <w:vAlign w:val="center"/>
          </w:tcPr>
          <w:p w14:paraId="2B0CE46A" w14:textId="4D530649" w:rsidR="000C37BB" w:rsidRDefault="000C37BB" w:rsidP="000C37BB">
            <w:pPr>
              <w:autoSpaceDE w:val="0"/>
              <w:autoSpaceDN w:val="0"/>
              <w:adjustRightInd w:val="0"/>
              <w:spacing w:after="0"/>
              <w:ind w:left="0" w:right="0"/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</w:pPr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>Emotional depth</w:t>
            </w:r>
          </w:p>
        </w:tc>
        <w:tc>
          <w:tcPr>
            <w:tcW w:w="3005" w:type="dxa"/>
            <w:vAlign w:val="center"/>
          </w:tcPr>
          <w:p w14:paraId="28A37E11" w14:textId="0524EE9F" w:rsidR="000C37BB" w:rsidRDefault="000C37BB" w:rsidP="000C37BB">
            <w:pPr>
              <w:autoSpaceDE w:val="0"/>
              <w:autoSpaceDN w:val="0"/>
              <w:adjustRightInd w:val="0"/>
              <w:spacing w:after="0"/>
              <w:ind w:left="0" w:right="0"/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</w:pPr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 xml:space="preserve">Explores subtle emotions and inner conflicts in </w:t>
            </w:r>
            <w:proofErr w:type="gramStart"/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>great detail</w:t>
            </w:r>
            <w:proofErr w:type="gramEnd"/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>, reflecting aristocratic sensibilities.</w:t>
            </w:r>
          </w:p>
        </w:tc>
        <w:tc>
          <w:tcPr>
            <w:tcW w:w="3006" w:type="dxa"/>
            <w:vAlign w:val="center"/>
          </w:tcPr>
          <w:p w14:paraId="23281790" w14:textId="74E303E7" w:rsidR="000C37BB" w:rsidRDefault="000C37BB" w:rsidP="000C37BB">
            <w:pPr>
              <w:autoSpaceDE w:val="0"/>
              <w:autoSpaceDN w:val="0"/>
              <w:adjustRightInd w:val="0"/>
              <w:spacing w:after="0"/>
              <w:ind w:left="0" w:right="0"/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</w:pPr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>Emphasizes decisive emotional moments and moral qualities, typical of fable-like storytelling.</w:t>
            </w:r>
          </w:p>
        </w:tc>
      </w:tr>
      <w:tr w:rsidR="000C37BB" w14:paraId="238A4B40" w14:textId="77777777" w:rsidTr="00CF16AC">
        <w:tc>
          <w:tcPr>
            <w:tcW w:w="3005" w:type="dxa"/>
            <w:vAlign w:val="center"/>
          </w:tcPr>
          <w:p w14:paraId="6AC323DC" w14:textId="4419B352" w:rsidR="000C37BB" w:rsidRDefault="000C37BB" w:rsidP="000C37BB">
            <w:pPr>
              <w:autoSpaceDE w:val="0"/>
              <w:autoSpaceDN w:val="0"/>
              <w:adjustRightInd w:val="0"/>
              <w:spacing w:after="0"/>
              <w:ind w:left="0" w:right="0"/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</w:pPr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>Role of other characters</w:t>
            </w:r>
          </w:p>
        </w:tc>
        <w:tc>
          <w:tcPr>
            <w:tcW w:w="3005" w:type="dxa"/>
            <w:vAlign w:val="center"/>
          </w:tcPr>
          <w:p w14:paraId="5B43B052" w14:textId="29013B1D" w:rsidR="000C37BB" w:rsidRDefault="000C37BB" w:rsidP="000C37BB">
            <w:pPr>
              <w:autoSpaceDE w:val="0"/>
              <w:autoSpaceDN w:val="0"/>
              <w:adjustRightInd w:val="0"/>
              <w:spacing w:after="0"/>
              <w:ind w:left="0" w:right="0"/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</w:pPr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>Other characters’ views and social context richly inform the protagonist’s characterization.</w:t>
            </w:r>
          </w:p>
        </w:tc>
        <w:tc>
          <w:tcPr>
            <w:tcW w:w="3006" w:type="dxa"/>
            <w:vAlign w:val="center"/>
          </w:tcPr>
          <w:p w14:paraId="4ED02E3A" w14:textId="2F4597B6" w:rsidR="000C37BB" w:rsidRDefault="000C37BB" w:rsidP="000C37BB">
            <w:pPr>
              <w:autoSpaceDE w:val="0"/>
              <w:autoSpaceDN w:val="0"/>
              <w:adjustRightInd w:val="0"/>
              <w:spacing w:after="0"/>
              <w:ind w:left="0" w:right="0"/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</w:pPr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 xml:space="preserve">Limited supporting </w:t>
            </w:r>
            <w:proofErr w:type="gramStart"/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>characters;</w:t>
            </w:r>
            <w:proofErr w:type="gramEnd"/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 xml:space="preserve"> focus remains tightly on the protagonist’s essential traits.</w:t>
            </w:r>
          </w:p>
        </w:tc>
      </w:tr>
      <w:tr w:rsidR="000C37BB" w14:paraId="40A524D8" w14:textId="77777777" w:rsidTr="00CF16AC">
        <w:tc>
          <w:tcPr>
            <w:tcW w:w="3005" w:type="dxa"/>
            <w:vAlign w:val="center"/>
          </w:tcPr>
          <w:p w14:paraId="0B75AA79" w14:textId="1BD9E23B" w:rsidR="000C37BB" w:rsidRDefault="000C37BB" w:rsidP="000C37BB">
            <w:pPr>
              <w:autoSpaceDE w:val="0"/>
              <w:autoSpaceDN w:val="0"/>
              <w:adjustRightInd w:val="0"/>
              <w:spacing w:after="0"/>
              <w:ind w:left="0" w:right="0"/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</w:pPr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>Narrative pace</w:t>
            </w:r>
          </w:p>
        </w:tc>
        <w:tc>
          <w:tcPr>
            <w:tcW w:w="3005" w:type="dxa"/>
            <w:vAlign w:val="center"/>
          </w:tcPr>
          <w:p w14:paraId="3C199DBA" w14:textId="10C8C55B" w:rsidR="000C37BB" w:rsidRDefault="000C37BB" w:rsidP="000C37BB">
            <w:pPr>
              <w:autoSpaceDE w:val="0"/>
              <w:autoSpaceDN w:val="0"/>
              <w:adjustRightInd w:val="0"/>
              <w:spacing w:after="0"/>
              <w:ind w:left="0" w:right="0"/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</w:pPr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>Slower, allowing complex character arcs and evolution.</w:t>
            </w:r>
          </w:p>
        </w:tc>
        <w:tc>
          <w:tcPr>
            <w:tcW w:w="3006" w:type="dxa"/>
            <w:vAlign w:val="center"/>
          </w:tcPr>
          <w:p w14:paraId="3DC4C422" w14:textId="0147F853" w:rsidR="000C37BB" w:rsidRDefault="000C37BB" w:rsidP="000C37BB">
            <w:pPr>
              <w:autoSpaceDE w:val="0"/>
              <w:autoSpaceDN w:val="0"/>
              <w:adjustRightInd w:val="0"/>
              <w:spacing w:after="0"/>
              <w:ind w:left="0" w:right="0"/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</w:pPr>
            <w:r w:rsidRPr="0055528D">
              <w:rPr>
                <w:rFonts w:ascii="Times New Roman" w:hAnsi="Times New Roman" w:cs="Times New Roman"/>
                <w:color w:val="000000" w:themeColor="text1"/>
                <w:kern w:val="0"/>
                <w:lang w:val="en-GB"/>
              </w:rPr>
              <w:t>Faster, delivering characterization efficiently to support the story’s moral or theme.</w:t>
            </w:r>
          </w:p>
        </w:tc>
      </w:tr>
    </w:tbl>
    <w:p w14:paraId="19102E87" w14:textId="77777777" w:rsidR="00E9184C" w:rsidRDefault="00E9184C" w:rsidP="00E9184C">
      <w:pPr>
        <w:autoSpaceDE w:val="0"/>
        <w:autoSpaceDN w:val="0"/>
        <w:adjustRightInd w:val="0"/>
        <w:spacing w:after="0"/>
        <w:ind w:left="0" w:right="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1F39C614" w14:textId="0EFCF358" w:rsidR="0055528D" w:rsidRPr="0055528D" w:rsidRDefault="0055528D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These differences align with literary theory that short stories rely on concise, impactful characterization, often through </w:t>
      </w:r>
      <w:proofErr w:type="spellStart"/>
      <w:r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>behavior</w:t>
      </w:r>
      <w:proofErr w:type="spellEnd"/>
      <w:r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 and symbolic actions, while novels provide room for elaborate psychological portraits and evolving character dynamics (Writer, 2019). For example, Federigo’s ultimate act of sacrifice is a succinct but powerful characterization emblematic of short story technique, whereas Genji’s multifaceted personality unfolds over decades and social settings, revealing contradictions and growth.</w:t>
      </w:r>
    </w:p>
    <w:p w14:paraId="0670BEA4" w14:textId="77777777" w:rsidR="0055528D" w:rsidRPr="00E9184C" w:rsidRDefault="0055528D" w:rsidP="00E9184C">
      <w:pPr>
        <w:autoSpaceDE w:val="0"/>
        <w:autoSpaceDN w:val="0"/>
        <w:adjustRightInd w:val="0"/>
        <w:spacing w:after="0"/>
        <w:ind w:left="0" w:right="0"/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</w:pP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Conclusion</w:t>
      </w:r>
    </w:p>
    <w:p w14:paraId="0E70126E" w14:textId="0DE02D22" w:rsidR="0055528D" w:rsidRDefault="00E9184C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E9184C">
        <w:rPr>
          <w:rFonts w:ascii="Times New Roman" w:hAnsi="Times New Roman" w:cs="Times New Roman"/>
          <w:i/>
          <w:iCs/>
          <w:color w:val="000000" w:themeColor="text1"/>
          <w:kern w:val="0"/>
          <w:lang w:val="en-GB"/>
        </w:rPr>
        <w:t>“</w:t>
      </w:r>
      <w:r w:rsidR="0055528D" w:rsidRPr="00E9184C">
        <w:rPr>
          <w:rFonts w:ascii="Times New Roman" w:hAnsi="Times New Roman" w:cs="Times New Roman"/>
          <w:i/>
          <w:iCs/>
          <w:color w:val="000000" w:themeColor="text1"/>
          <w:kern w:val="0"/>
          <w:lang w:val="en-GB"/>
        </w:rPr>
        <w:t>The Tale of Genji</w:t>
      </w:r>
      <w:r w:rsidRPr="00E9184C">
        <w:rPr>
          <w:rFonts w:ascii="Times New Roman" w:hAnsi="Times New Roman" w:cs="Times New Roman"/>
          <w:i/>
          <w:iCs/>
          <w:color w:val="000000" w:themeColor="text1"/>
          <w:kern w:val="0"/>
          <w:lang w:val="en-GB"/>
        </w:rPr>
        <w:t>”</w:t>
      </w:r>
      <w:r w:rsidR="0055528D"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> exemplifies the novel form through its expansive narrative, poetic integration, and intricate depiction of aristocratic life, utilizing both direct and indirect characterization to achieve psychological complexity. In contrast, </w:t>
      </w:r>
      <w:r w:rsidRPr="00E9184C">
        <w:rPr>
          <w:rFonts w:ascii="Times New Roman" w:hAnsi="Times New Roman" w:cs="Times New Roman"/>
          <w:i/>
          <w:iCs/>
          <w:color w:val="000000" w:themeColor="text1"/>
          <w:kern w:val="0"/>
          <w:lang w:val="en-GB"/>
        </w:rPr>
        <w:t>“</w:t>
      </w:r>
      <w:r w:rsidR="0055528D" w:rsidRPr="00E9184C">
        <w:rPr>
          <w:rFonts w:ascii="Times New Roman" w:hAnsi="Times New Roman" w:cs="Times New Roman"/>
          <w:i/>
          <w:iCs/>
          <w:color w:val="000000" w:themeColor="text1"/>
          <w:kern w:val="0"/>
          <w:lang w:val="en-GB"/>
        </w:rPr>
        <w:t>The Ninth Story</w:t>
      </w:r>
      <w:r w:rsidRPr="00E9184C">
        <w:rPr>
          <w:rFonts w:ascii="Times New Roman" w:hAnsi="Times New Roman" w:cs="Times New Roman"/>
          <w:i/>
          <w:iCs/>
          <w:color w:val="000000" w:themeColor="text1"/>
          <w:kern w:val="0"/>
          <w:lang w:val="en-GB"/>
        </w:rPr>
        <w:t>”</w:t>
      </w:r>
      <w:r w:rsidR="0055528D"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t> </w:t>
      </w:r>
      <w:r w:rsidR="0055528D"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uses the short story form’s brevity to focus character portrayal on decisive actions and moral qualities, </w:t>
      </w:r>
      <w:r w:rsidR="0055528D"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lastRenderedPageBreak/>
        <w:t>primarily through indirect characterization. This contrast highlights how literary form influences the methods and depth of characterization, reflecting the distinct narrative demands and artistic aims of novels and short stories.</w:t>
      </w:r>
    </w:p>
    <w:p w14:paraId="1B5334EC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4F63A0C6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0E9BC6BF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4FCD84F7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410CC927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30B884A7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09A21D01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378F1CFF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3BB60A43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12DD634B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2332EA0A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5DD17EF3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2487D06E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708193B7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21AC5A28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0D810176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0E3DAA13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4C558FCD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3F2D7F25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1DC74943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4EB9FC7D" w14:textId="77777777" w:rsidR="000C37BB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4B8F110E" w14:textId="77777777" w:rsidR="000C37BB" w:rsidRPr="0055528D" w:rsidRDefault="000C37BB" w:rsidP="000C37BB">
      <w:pPr>
        <w:autoSpaceDE w:val="0"/>
        <w:autoSpaceDN w:val="0"/>
        <w:adjustRightInd w:val="0"/>
        <w:spacing w:after="0"/>
        <w:ind w:left="0" w:right="0" w:firstLine="720"/>
        <w:rPr>
          <w:rFonts w:ascii="Times New Roman" w:hAnsi="Times New Roman" w:cs="Times New Roman"/>
          <w:color w:val="000000" w:themeColor="text1"/>
          <w:kern w:val="0"/>
          <w:lang w:val="en-GB"/>
        </w:rPr>
      </w:pPr>
    </w:p>
    <w:p w14:paraId="7C7FD036" w14:textId="77777777" w:rsidR="0055528D" w:rsidRPr="00E9184C" w:rsidRDefault="0055528D" w:rsidP="00E9184C">
      <w:pPr>
        <w:autoSpaceDE w:val="0"/>
        <w:autoSpaceDN w:val="0"/>
        <w:adjustRightInd w:val="0"/>
        <w:spacing w:after="0"/>
        <w:ind w:left="0" w:right="0"/>
        <w:jc w:val="center"/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</w:pPr>
      <w:r w:rsidRPr="00E9184C">
        <w:rPr>
          <w:rFonts w:ascii="Times New Roman" w:hAnsi="Times New Roman" w:cs="Times New Roman"/>
          <w:b/>
          <w:bCs/>
          <w:color w:val="000000" w:themeColor="text1"/>
          <w:kern w:val="0"/>
          <w:lang w:val="en-GB"/>
        </w:rPr>
        <w:lastRenderedPageBreak/>
        <w:t>References</w:t>
      </w:r>
    </w:p>
    <w:p w14:paraId="4E63A80B" w14:textId="77777777" w:rsidR="0055528D" w:rsidRPr="0055528D" w:rsidRDefault="0055528D" w:rsidP="000C37BB">
      <w:pPr>
        <w:autoSpaceDE w:val="0"/>
        <w:autoSpaceDN w:val="0"/>
        <w:adjustRightInd w:val="0"/>
        <w:spacing w:after="0"/>
        <w:ind w:left="720" w:right="0" w:hanging="72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>Getty, L., Kwon, K., Kelley, R., &amp; Thomson, D. (2020). </w:t>
      </w:r>
      <w:r w:rsidRPr="00E9184C">
        <w:rPr>
          <w:rFonts w:ascii="Times New Roman" w:hAnsi="Times New Roman" w:cs="Times New Roman"/>
          <w:i/>
          <w:iCs/>
          <w:color w:val="000000" w:themeColor="text1"/>
          <w:kern w:val="0"/>
          <w:lang w:val="en-GB"/>
        </w:rPr>
        <w:t>World Literature I: Beginnings to 1650</w:t>
      </w:r>
      <w:r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>. University System of Georgia, University Press of North Georgia. </w:t>
      </w:r>
      <w:hyperlink r:id="rId5" w:history="1">
        <w:r w:rsidRPr="0055528D">
          <w:rPr>
            <w:rFonts w:ascii="Times New Roman" w:hAnsi="Times New Roman" w:cs="Times New Roman"/>
            <w:color w:val="000000" w:themeColor="text1"/>
            <w:kern w:val="0"/>
            <w:lang w:val="en-GB"/>
          </w:rPr>
          <w:t>https://alg.manifoldapp.org/projects/world-literature-i</w:t>
        </w:r>
      </w:hyperlink>
    </w:p>
    <w:p w14:paraId="603294B9" w14:textId="77777777" w:rsidR="0055528D" w:rsidRPr="0055528D" w:rsidRDefault="0055528D" w:rsidP="000C37BB">
      <w:pPr>
        <w:autoSpaceDE w:val="0"/>
        <w:autoSpaceDN w:val="0"/>
        <w:adjustRightInd w:val="0"/>
        <w:spacing w:after="0"/>
        <w:ind w:left="720" w:right="0" w:hanging="720"/>
        <w:rPr>
          <w:rFonts w:ascii="Times New Roman" w:hAnsi="Times New Roman" w:cs="Times New Roman"/>
          <w:color w:val="000000" w:themeColor="text1"/>
          <w:kern w:val="0"/>
          <w:lang w:val="en-GB"/>
        </w:rPr>
      </w:pPr>
      <w:r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 xml:space="preserve">Writer, L. (2019, March 9). </w:t>
      </w:r>
      <w:r w:rsidRPr="00E9184C">
        <w:rPr>
          <w:rFonts w:ascii="Times New Roman" w:hAnsi="Times New Roman" w:cs="Times New Roman"/>
          <w:i/>
          <w:iCs/>
          <w:color w:val="000000" w:themeColor="text1"/>
          <w:kern w:val="0"/>
          <w:lang w:val="en-GB"/>
        </w:rPr>
        <w:t>Characterization: Definitions and Examples | Literary Terms</w:t>
      </w:r>
      <w:r w:rsidRPr="0055528D">
        <w:rPr>
          <w:rFonts w:ascii="Times New Roman" w:hAnsi="Times New Roman" w:cs="Times New Roman"/>
          <w:color w:val="000000" w:themeColor="text1"/>
          <w:kern w:val="0"/>
          <w:lang w:val="en-GB"/>
        </w:rPr>
        <w:t>. Literary Terms. </w:t>
      </w:r>
      <w:hyperlink r:id="rId6" w:history="1">
        <w:r w:rsidRPr="0055528D">
          <w:rPr>
            <w:rFonts w:ascii="Times New Roman" w:hAnsi="Times New Roman" w:cs="Times New Roman"/>
            <w:color w:val="000000" w:themeColor="text1"/>
            <w:kern w:val="0"/>
            <w:lang w:val="en-GB"/>
          </w:rPr>
          <w:t>https://literaryterms.net/characterization/</w:t>
        </w:r>
      </w:hyperlink>
    </w:p>
    <w:p w14:paraId="038A2AA4" w14:textId="77777777" w:rsidR="00CC6685" w:rsidRPr="0055528D" w:rsidRDefault="00CC6685" w:rsidP="0055528D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4B5BF7C1" w14:textId="77777777" w:rsidR="00E9184C" w:rsidRPr="0055528D" w:rsidRDefault="00E9184C">
      <w:pPr>
        <w:spacing w:after="0"/>
        <w:rPr>
          <w:rFonts w:ascii="Times New Roman" w:hAnsi="Times New Roman" w:cs="Times New Roman"/>
          <w:color w:val="000000" w:themeColor="text1"/>
        </w:rPr>
      </w:pPr>
    </w:p>
    <w:sectPr w:rsidR="00E9184C" w:rsidRPr="0055528D" w:rsidSect="00555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6D34292"/>
    <w:multiLevelType w:val="multilevel"/>
    <w:tmpl w:val="45FE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63CD3"/>
    <w:multiLevelType w:val="multilevel"/>
    <w:tmpl w:val="6C9E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653E8"/>
    <w:multiLevelType w:val="hybridMultilevel"/>
    <w:tmpl w:val="727ED0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E43FF0"/>
    <w:multiLevelType w:val="hybridMultilevel"/>
    <w:tmpl w:val="4CEED4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52956">
    <w:abstractNumId w:val="3"/>
  </w:num>
  <w:num w:numId="2" w16cid:durableId="938021327">
    <w:abstractNumId w:val="2"/>
  </w:num>
  <w:num w:numId="3" w16cid:durableId="1503472051">
    <w:abstractNumId w:val="0"/>
  </w:num>
  <w:num w:numId="4" w16cid:durableId="2041201795">
    <w:abstractNumId w:val="1"/>
  </w:num>
  <w:num w:numId="5" w16cid:durableId="599680235">
    <w:abstractNumId w:val="5"/>
  </w:num>
  <w:num w:numId="6" w16cid:durableId="400446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E16"/>
    <w:rsid w:val="00015E73"/>
    <w:rsid w:val="000C37BB"/>
    <w:rsid w:val="001458AC"/>
    <w:rsid w:val="004B6E16"/>
    <w:rsid w:val="0055528D"/>
    <w:rsid w:val="00562C2E"/>
    <w:rsid w:val="00C050F4"/>
    <w:rsid w:val="00CC6685"/>
    <w:rsid w:val="00E9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779D"/>
  <w15:chartTrackingRefBased/>
  <w15:docId w15:val="{8AE201CA-1A59-0347-A7C4-34C02B2C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  <w:ind w:left="57" w:right="57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6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6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B6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E16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E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E1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15E73"/>
    <w:rPr>
      <w:b/>
      <w:bCs/>
    </w:rPr>
  </w:style>
  <w:style w:type="paragraph" w:styleId="NormalWeb">
    <w:name w:val="Normal (Web)"/>
    <w:basedOn w:val="Normal"/>
    <w:uiPriority w:val="99"/>
    <w:unhideWhenUsed/>
    <w:rsid w:val="00015E73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CC668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C6685"/>
    <w:rPr>
      <w:color w:val="0000FF"/>
      <w:u w:val="single"/>
    </w:rPr>
  </w:style>
  <w:style w:type="table" w:styleId="TableGrid">
    <w:name w:val="Table Grid"/>
    <w:basedOn w:val="TableNormal"/>
    <w:uiPriority w:val="39"/>
    <w:rsid w:val="000C37B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teraryterms.net/characterization/" TargetMode="External"/><Relationship Id="rId5" Type="http://schemas.openxmlformats.org/officeDocument/2006/relationships/hyperlink" Target="https://alg.manifoldapp.org/projects/world-literature-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1177</Words>
  <Characters>5215</Characters>
  <Application>Microsoft Office Word</Application>
  <DocSecurity>0</DocSecurity>
  <Lines>89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Okoth Ouma</dc:creator>
  <cp:keywords/>
  <dc:description/>
  <cp:lastModifiedBy>Godfrey Okoth Ouma</cp:lastModifiedBy>
  <cp:revision>3</cp:revision>
  <dcterms:created xsi:type="dcterms:W3CDTF">2026-03-01T21:32:00Z</dcterms:created>
  <dcterms:modified xsi:type="dcterms:W3CDTF">2026-03-01T22:34:00Z</dcterms:modified>
</cp:coreProperties>
</file>