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89E72" w14:textId="77777777" w:rsidR="00302292" w:rsidRDefault="00302292" w:rsidP="00302292">
      <w:pPr>
        <w:jc w:val="center"/>
        <w:rPr>
          <w:rFonts w:ascii="Times New Roman" w:hAnsi="Times New Roman" w:cs="Times New Roman"/>
          <w:sz w:val="24"/>
          <w:szCs w:val="24"/>
          <w:lang w:val="en-US"/>
        </w:rPr>
      </w:pPr>
    </w:p>
    <w:p w14:paraId="53105122" w14:textId="77777777" w:rsidR="00302292" w:rsidRDefault="00302292" w:rsidP="00302292">
      <w:pPr>
        <w:jc w:val="center"/>
        <w:rPr>
          <w:rFonts w:ascii="Times New Roman" w:hAnsi="Times New Roman" w:cs="Times New Roman"/>
          <w:sz w:val="24"/>
          <w:szCs w:val="24"/>
          <w:lang w:val="en-US"/>
        </w:rPr>
      </w:pPr>
    </w:p>
    <w:p w14:paraId="4EB41A5E" w14:textId="77777777" w:rsidR="00302292" w:rsidRDefault="00302292" w:rsidP="00302292">
      <w:pPr>
        <w:jc w:val="center"/>
        <w:rPr>
          <w:rFonts w:ascii="Times New Roman" w:hAnsi="Times New Roman" w:cs="Times New Roman"/>
          <w:sz w:val="24"/>
          <w:szCs w:val="24"/>
          <w:lang w:val="en-US"/>
        </w:rPr>
      </w:pPr>
    </w:p>
    <w:p w14:paraId="1BC53BF2" w14:textId="77777777" w:rsidR="00302292" w:rsidRDefault="00302292" w:rsidP="00302292">
      <w:pPr>
        <w:jc w:val="center"/>
        <w:rPr>
          <w:rFonts w:ascii="Times New Roman" w:hAnsi="Times New Roman" w:cs="Times New Roman"/>
          <w:sz w:val="24"/>
          <w:szCs w:val="24"/>
          <w:lang w:val="en-US"/>
        </w:rPr>
      </w:pPr>
    </w:p>
    <w:p w14:paraId="3477A845" w14:textId="77777777" w:rsidR="00302292" w:rsidRDefault="00302292" w:rsidP="00302292">
      <w:pPr>
        <w:jc w:val="center"/>
        <w:rPr>
          <w:rFonts w:ascii="Times New Roman" w:hAnsi="Times New Roman" w:cs="Times New Roman"/>
          <w:sz w:val="24"/>
          <w:szCs w:val="24"/>
          <w:lang w:val="en-US"/>
        </w:rPr>
      </w:pPr>
    </w:p>
    <w:p w14:paraId="374200C6" w14:textId="77777777" w:rsidR="002603E7" w:rsidRDefault="002603E7" w:rsidP="002603E7">
      <w:pPr>
        <w:pStyle w:val="NormalWeb"/>
        <w:spacing w:before="0" w:beforeAutospacing="0" w:after="0" w:afterAutospacing="0" w:line="480" w:lineRule="auto"/>
        <w:jc w:val="center"/>
        <w:rPr>
          <w:rStyle w:val="Strong"/>
          <w:b w:val="0"/>
          <w:bCs w:val="0"/>
        </w:rPr>
      </w:pPr>
      <w:r w:rsidRPr="002603E7">
        <w:rPr>
          <w:rStyle w:val="Strong"/>
          <w:b w:val="0"/>
          <w:bCs w:val="0"/>
        </w:rPr>
        <w:t>Exploring Fantasy and Children’s Literature</w:t>
      </w:r>
    </w:p>
    <w:p w14:paraId="3D2FCAE7" w14:textId="77777777" w:rsidR="002603E7" w:rsidRDefault="002603E7" w:rsidP="002603E7">
      <w:pPr>
        <w:pStyle w:val="NormalWeb"/>
        <w:spacing w:before="0" w:beforeAutospacing="0" w:after="0" w:afterAutospacing="0" w:line="480" w:lineRule="auto"/>
        <w:jc w:val="center"/>
        <w:rPr>
          <w:rStyle w:val="Strong"/>
          <w:b w:val="0"/>
          <w:bCs w:val="0"/>
        </w:rPr>
      </w:pPr>
    </w:p>
    <w:p w14:paraId="0ED3C37F" w14:textId="77777777" w:rsidR="002603E7" w:rsidRPr="002603E7" w:rsidRDefault="002603E7" w:rsidP="002603E7">
      <w:pPr>
        <w:pStyle w:val="NormalWeb"/>
        <w:spacing w:before="0" w:beforeAutospacing="0" w:after="0" w:afterAutospacing="0" w:line="480" w:lineRule="auto"/>
        <w:jc w:val="center"/>
        <w:rPr>
          <w:b/>
          <w:bCs/>
        </w:rPr>
      </w:pPr>
    </w:p>
    <w:p w14:paraId="7983368F" w14:textId="77777777" w:rsidR="00302292" w:rsidRPr="006411E4" w:rsidRDefault="00302292" w:rsidP="00302292">
      <w:pPr>
        <w:jc w:val="center"/>
        <w:rPr>
          <w:rFonts w:ascii="Times New Roman" w:hAnsi="Times New Roman" w:cs="Times New Roman"/>
          <w:sz w:val="24"/>
          <w:szCs w:val="24"/>
        </w:rPr>
      </w:pPr>
      <w:r w:rsidRPr="006411E4">
        <w:rPr>
          <w:rFonts w:ascii="Times New Roman" w:hAnsi="Times New Roman" w:cs="Times New Roman"/>
          <w:sz w:val="24"/>
          <w:szCs w:val="24"/>
        </w:rPr>
        <w:t>Godfrey Ouma</w:t>
      </w:r>
    </w:p>
    <w:p w14:paraId="39D0F992" w14:textId="77777777" w:rsidR="00302292" w:rsidRPr="006411E4" w:rsidRDefault="00302292" w:rsidP="00302292">
      <w:pPr>
        <w:jc w:val="center"/>
        <w:rPr>
          <w:rFonts w:ascii="Times New Roman" w:hAnsi="Times New Roman" w:cs="Times New Roman"/>
          <w:sz w:val="24"/>
          <w:szCs w:val="24"/>
        </w:rPr>
      </w:pPr>
      <w:r w:rsidRPr="006411E4">
        <w:rPr>
          <w:rFonts w:ascii="Times New Roman" w:hAnsi="Times New Roman" w:cs="Times New Roman"/>
          <w:sz w:val="24"/>
          <w:szCs w:val="24"/>
        </w:rPr>
        <w:t>University of the People</w:t>
      </w:r>
    </w:p>
    <w:p w14:paraId="2CFCD2B8" w14:textId="77777777" w:rsidR="008F0765" w:rsidRDefault="008F0765" w:rsidP="00CA0B8E">
      <w:pPr>
        <w:pStyle w:val="NormalWeb"/>
        <w:jc w:val="center"/>
      </w:pPr>
      <w:r w:rsidRPr="008F0765">
        <w:t xml:space="preserve">ENGL 1405 </w:t>
      </w:r>
      <w:r>
        <w:t>:</w:t>
      </w:r>
      <w:r w:rsidRPr="008F0765">
        <w:t>World Literature</w:t>
      </w:r>
    </w:p>
    <w:p w14:paraId="37537BE0" w14:textId="77777777" w:rsidR="008F0765" w:rsidRDefault="008F0765" w:rsidP="008F0765">
      <w:pPr>
        <w:pStyle w:val="NormalWeb"/>
        <w:jc w:val="center"/>
      </w:pPr>
      <w:r>
        <w:t>Shanti Thatil</w:t>
      </w:r>
    </w:p>
    <w:p w14:paraId="5D3EA7F7" w14:textId="2723BFE9" w:rsidR="00302292" w:rsidRDefault="002603E7" w:rsidP="00302292">
      <w:pPr>
        <w:jc w:val="center"/>
        <w:rPr>
          <w:rFonts w:ascii="Times New Roman" w:hAnsi="Times New Roman" w:cs="Times New Roman"/>
          <w:sz w:val="24"/>
          <w:szCs w:val="24"/>
          <w:lang w:val="en-US"/>
        </w:rPr>
      </w:pPr>
      <w:r>
        <w:rPr>
          <w:rFonts w:ascii="Times New Roman" w:hAnsi="Times New Roman" w:cs="Times New Roman"/>
          <w:sz w:val="24"/>
          <w:szCs w:val="24"/>
          <w:lang w:val="en-US"/>
        </w:rPr>
        <w:t>March 19,</w:t>
      </w:r>
      <w:r w:rsidR="00CA0B8E">
        <w:rPr>
          <w:rFonts w:ascii="Times New Roman" w:hAnsi="Times New Roman" w:cs="Times New Roman"/>
          <w:sz w:val="24"/>
          <w:szCs w:val="24"/>
          <w:lang w:val="en-US"/>
        </w:rPr>
        <w:t xml:space="preserve"> 2026</w:t>
      </w:r>
    </w:p>
    <w:p w14:paraId="44D96C67" w14:textId="77777777" w:rsidR="00302292" w:rsidRDefault="00302292" w:rsidP="00302292">
      <w:pPr>
        <w:jc w:val="center"/>
        <w:rPr>
          <w:rFonts w:ascii="Times New Roman" w:hAnsi="Times New Roman" w:cs="Times New Roman"/>
          <w:sz w:val="24"/>
          <w:szCs w:val="24"/>
          <w:lang w:val="en-US"/>
        </w:rPr>
      </w:pPr>
    </w:p>
    <w:p w14:paraId="4CF01A4E" w14:textId="77777777" w:rsidR="00302292" w:rsidRDefault="00302292" w:rsidP="00302292">
      <w:pPr>
        <w:jc w:val="center"/>
        <w:rPr>
          <w:rFonts w:ascii="Times New Roman" w:hAnsi="Times New Roman" w:cs="Times New Roman"/>
          <w:sz w:val="24"/>
          <w:szCs w:val="24"/>
          <w:lang w:val="en-US"/>
        </w:rPr>
      </w:pPr>
    </w:p>
    <w:p w14:paraId="1E3D945E" w14:textId="77777777" w:rsidR="00302292" w:rsidRDefault="00302292" w:rsidP="00302292">
      <w:pPr>
        <w:jc w:val="center"/>
        <w:rPr>
          <w:rFonts w:ascii="Times New Roman" w:hAnsi="Times New Roman" w:cs="Times New Roman"/>
          <w:sz w:val="24"/>
          <w:szCs w:val="24"/>
          <w:lang w:val="en-US"/>
        </w:rPr>
      </w:pPr>
    </w:p>
    <w:p w14:paraId="3AE0198E" w14:textId="77777777" w:rsidR="00302292" w:rsidRDefault="00302292" w:rsidP="00302292">
      <w:pPr>
        <w:jc w:val="center"/>
        <w:rPr>
          <w:rFonts w:ascii="Times New Roman" w:hAnsi="Times New Roman" w:cs="Times New Roman"/>
          <w:sz w:val="24"/>
          <w:szCs w:val="24"/>
          <w:lang w:val="en-US"/>
        </w:rPr>
      </w:pPr>
    </w:p>
    <w:p w14:paraId="23A2C055" w14:textId="77777777" w:rsidR="00302292" w:rsidRDefault="00302292" w:rsidP="00302292">
      <w:pPr>
        <w:jc w:val="center"/>
        <w:rPr>
          <w:rFonts w:ascii="Times New Roman" w:hAnsi="Times New Roman" w:cs="Times New Roman"/>
          <w:sz w:val="24"/>
          <w:szCs w:val="24"/>
          <w:lang w:val="en-US"/>
        </w:rPr>
      </w:pPr>
    </w:p>
    <w:p w14:paraId="14ECAA7F" w14:textId="625191C5" w:rsidR="00785CC1" w:rsidRDefault="00785CC1" w:rsidP="00785CC1">
      <w:pPr>
        <w:spacing w:line="300" w:lineRule="atLeast"/>
        <w:ind w:left="0"/>
        <w:rPr>
          <w:rFonts w:ascii="Times New Roman" w:hAnsi="Times New Roman" w:cs="Times New Roman"/>
          <w:sz w:val="24"/>
          <w:szCs w:val="24"/>
          <w:lang w:val="en-US"/>
        </w:rPr>
      </w:pPr>
    </w:p>
    <w:p w14:paraId="647B38E4" w14:textId="77777777" w:rsidR="002603E7" w:rsidRDefault="002603E7" w:rsidP="00785CC1">
      <w:pPr>
        <w:spacing w:line="300" w:lineRule="atLeast"/>
        <w:ind w:left="0"/>
        <w:rPr>
          <w:rFonts w:ascii="Segoe UI" w:hAnsi="Segoe UI" w:cs="Segoe UI"/>
          <w:sz w:val="21"/>
          <w:szCs w:val="21"/>
        </w:rPr>
      </w:pPr>
    </w:p>
    <w:p w14:paraId="0BADE631" w14:textId="111BD498" w:rsidR="002603E7" w:rsidRDefault="002603E7" w:rsidP="002603E7">
      <w:pPr>
        <w:pStyle w:val="NormalWeb"/>
        <w:spacing w:before="0" w:beforeAutospacing="0" w:after="0" w:afterAutospacing="0" w:line="480" w:lineRule="auto"/>
        <w:jc w:val="center"/>
      </w:pPr>
      <w:r>
        <w:rPr>
          <w:rStyle w:val="Strong"/>
        </w:rPr>
        <w:lastRenderedPageBreak/>
        <w:t>Exploring Fantasy and Children’s Literature</w:t>
      </w:r>
    </w:p>
    <w:p w14:paraId="5C490333" w14:textId="77777777" w:rsidR="002603E7" w:rsidRDefault="002603E7" w:rsidP="002603E7">
      <w:pPr>
        <w:pStyle w:val="NormalWeb"/>
        <w:spacing w:before="0" w:beforeAutospacing="0" w:after="0" w:afterAutospacing="0" w:line="480" w:lineRule="auto"/>
        <w:ind w:firstLine="720"/>
      </w:pPr>
      <w:r>
        <w:t xml:space="preserve">Children’s literature and fantasy literature are closely related yet distinct categories, often overlapping but not identical in purpose and content. Children’s literature refers broadly to works written for young readers, focusing on themes such as growth, relationships, and moral lessons presented in an accessible style. Fantasy literature, on the other hand, is defined by its use of imaginative settings, impossible events, and supernatural elements that do not exist in reality (Mallik, 2024). While many fantasy works are written for children, not all children’s literature contains fantasy elements. For example, Rabindranath Tagore’s </w:t>
      </w:r>
      <w:r>
        <w:rPr>
          <w:rStyle w:val="Emphasis"/>
        </w:rPr>
        <w:t>The Cabuliwallah</w:t>
      </w:r>
      <w:r>
        <w:t xml:space="preserve"> is a children’s story that portrays realistic human relationships and emotions without any supernatural components. In contrast, J. K. Rowling’s </w:t>
      </w:r>
      <w:r>
        <w:rPr>
          <w:rStyle w:val="Emphasis"/>
        </w:rPr>
        <w:t>Harry Potter</w:t>
      </w:r>
      <w:r>
        <w:t xml:space="preserve"> series, as noted by Mallik (2024), belongs to both children’s literature and fantasy because it combines youthful themes with magical elements. This demonstrates that children’s literature can include fantasy but is not limited to it, as it also encompasses realistic narratives that reflect everyday life.</w:t>
      </w:r>
    </w:p>
    <w:p w14:paraId="780CA5EC" w14:textId="06286B71" w:rsidR="002603E7" w:rsidRDefault="002603E7" w:rsidP="002603E7">
      <w:pPr>
        <w:pStyle w:val="NormalWeb"/>
        <w:spacing w:before="0" w:beforeAutospacing="0" w:after="0" w:afterAutospacing="0" w:line="480" w:lineRule="auto"/>
        <w:ind w:firstLine="720"/>
      </w:pPr>
      <w:r>
        <w:t xml:space="preserve">To further explore fantasy literature, two works from the reading list, </w:t>
      </w:r>
      <w:r>
        <w:rPr>
          <w:rStyle w:val="Emphasis"/>
        </w:rPr>
        <w:t>The Story of the Husband and the Parrot</w:t>
      </w:r>
      <w:r>
        <w:t xml:space="preserve"> and </w:t>
      </w:r>
      <w:r>
        <w:rPr>
          <w:rStyle w:val="Emphasis"/>
        </w:rPr>
        <w:t>The Second Bakery Attack</w:t>
      </w:r>
      <w:r>
        <w:t>, can be analyzed through Vladimir Propp’s structural elements of folktales and J. R. R. Tolkien’s concept of fairy stories. Propp identified recurring narrative functions such as deception, misfortune, and punishment that shape many traditional tales</w:t>
      </w:r>
      <w:r w:rsidR="00F86800">
        <w:t xml:space="preserve"> </w:t>
      </w:r>
      <w:r w:rsidR="00F86800">
        <w:t>(Tolkien, n.d.)</w:t>
      </w:r>
      <w:r>
        <w:t xml:space="preserve">. In </w:t>
      </w:r>
      <w:r>
        <w:rPr>
          <w:rStyle w:val="Emphasis"/>
        </w:rPr>
        <w:t>The Story of the Husband and the Parrot</w:t>
      </w:r>
      <w:r>
        <w:t>, these elements are clearly present. The parrot serves as a magical or extraordinary helper figure, possessing the unusual ability to observe and recount events accurately. The conflict arises when the wife deceives her husband by manipulating the environment to trick the parrot into giving false information. This act reflects Propp’s notion of villainy or deception, where a character disrupts the moral order. The resolution comes through the eventual revelation of truth, although it leads to tragic consequences, including violence and regret</w:t>
      </w:r>
      <w:r w:rsidR="00F86800">
        <w:t xml:space="preserve"> </w:t>
      </w:r>
      <w:r w:rsidR="00F86800">
        <w:lastRenderedPageBreak/>
        <w:t>(The Story of the Husband and the Parrot, 2020)</w:t>
      </w:r>
      <w:r>
        <w:t>. The narrative reinforces a moral lesson about trust and the dangers of jealousy, which aligns with the didactic nature often found in fantasy tales</w:t>
      </w:r>
      <w:r w:rsidR="00F86800">
        <w:t xml:space="preserve">. </w:t>
      </w:r>
    </w:p>
    <w:p w14:paraId="18464C3E" w14:textId="77777777" w:rsidR="002603E7" w:rsidRDefault="002603E7" w:rsidP="002603E7">
      <w:pPr>
        <w:pStyle w:val="NormalWeb"/>
        <w:spacing w:before="0" w:beforeAutospacing="0" w:after="0" w:afterAutospacing="0" w:line="480" w:lineRule="auto"/>
        <w:ind w:firstLine="720"/>
      </w:pPr>
      <w:r>
        <w:t xml:space="preserve">Tolkien’s idea of fairy stories emphasizes the creation of a “secondary world” where magical or extraordinary events are presented as believable within the story’s internal logic. In this sense, </w:t>
      </w:r>
      <w:r>
        <w:rPr>
          <w:rStyle w:val="Emphasis"/>
        </w:rPr>
        <w:t>The Story of the Husband and the Parrot</w:t>
      </w:r>
      <w:r>
        <w:t xml:space="preserve"> fits Tolkien’s framework because the talking parrot is accepted as a natural part of the story’s world. Tolkien argued that fantasy should evoke a sense of wonder while also conveying deeper truths about human experience (Tolkien, n.d.). The parrot’s role highlights themes of truth and perception, illustrating how easily reality can be distorted by manipulation. Although the story contains magical elements, its ultimate focus is on human behavior and ethical consequences, which aligns with Tolkien’s belief that fantasy reveals universal truths.</w:t>
      </w:r>
    </w:p>
    <w:p w14:paraId="5BE7A397" w14:textId="3EBE8B2E" w:rsidR="002603E7" w:rsidRDefault="002603E7" w:rsidP="002603E7">
      <w:pPr>
        <w:pStyle w:val="NormalWeb"/>
        <w:spacing w:before="0" w:beforeAutospacing="0" w:after="0" w:afterAutospacing="0" w:line="480" w:lineRule="auto"/>
        <w:ind w:firstLine="720"/>
      </w:pPr>
      <w:r>
        <w:t xml:space="preserve">Similarly, Haruki Murakami’s </w:t>
      </w:r>
      <w:r>
        <w:rPr>
          <w:rStyle w:val="Emphasis"/>
        </w:rPr>
        <w:t>The Second Bakery Attack</w:t>
      </w:r>
      <w:r>
        <w:t xml:space="preserve"> incorporates elements of fantasy but in a more modern and surreal form. The story follows a couple driven by an unexplained hunger that compels them to commit a robbery. This premise introduces an irrational and almost supernatural force, reflecting Propp’s concept of a lack or need that motivates the narrative. The characters’ quest to satisfy their hunger mirrors the traditional folktale structure of seeking </w:t>
      </w:r>
      <w:r>
        <w:t xml:space="preserve">a </w:t>
      </w:r>
      <w:r>
        <w:t>resolution to a problem</w:t>
      </w:r>
      <w:r w:rsidR="00F86800">
        <w:t xml:space="preserve"> </w:t>
      </w:r>
      <w:r w:rsidR="00F86800">
        <w:t>(Murakami, 2022)</w:t>
      </w:r>
      <w:r>
        <w:t>. However, Murakami’s approach differs in that the fantasy is subtle and psychological rather than overtly magical</w:t>
      </w:r>
      <w:r w:rsidR="00F86800">
        <w:t xml:space="preserve"> </w:t>
      </w:r>
      <w:r w:rsidR="00F86800">
        <w:t>(Murakami, 2022).</w:t>
      </w:r>
      <w:r>
        <w:t xml:space="preserve"> The absence of </w:t>
      </w:r>
      <w:r>
        <w:t xml:space="preserve">a </w:t>
      </w:r>
      <w:r>
        <w:t>clear explanation for the characters’ condition creates a sense of ambiguity, which challenges the reader’s perception of reality</w:t>
      </w:r>
      <w:r w:rsidR="00F86800">
        <w:t>.</w:t>
      </w:r>
    </w:p>
    <w:p w14:paraId="607BB31E" w14:textId="77777777" w:rsidR="002603E7" w:rsidRDefault="002603E7" w:rsidP="002603E7">
      <w:pPr>
        <w:pStyle w:val="NormalWeb"/>
        <w:spacing w:before="0" w:beforeAutospacing="0" w:after="0" w:afterAutospacing="0" w:line="480" w:lineRule="auto"/>
        <w:ind w:firstLine="720"/>
      </w:pPr>
      <w:r>
        <w:t xml:space="preserve">From Tolkien’s perspective, </w:t>
      </w:r>
      <w:r>
        <w:rPr>
          <w:rStyle w:val="Emphasis"/>
        </w:rPr>
        <w:t>The Second Bakery Attack</w:t>
      </w:r>
      <w:r>
        <w:t xml:space="preserve"> can also be considered a form of fairy story, though it deviates from traditional models. Tolkien emphasized consistency within the imagined world, and Murakami achieves this by presenting the bizarre situation as normal within the narrative context. The story’s surreal tone creates a secondary reality where </w:t>
      </w:r>
      <w:r>
        <w:lastRenderedPageBreak/>
        <w:t>unusual events are accepted without question. At the same time, it explores themes of existential dissatisfaction and the search for meaning, demonstrating how fantasy can address complex psychological and philosophical issues. This aligns with Tolkien’s idea that fantasy is not merely escapism but a way of engaging with deeper aspects of human life.</w:t>
      </w:r>
    </w:p>
    <w:p w14:paraId="049368E2" w14:textId="77777777" w:rsidR="002603E7" w:rsidRDefault="002603E7" w:rsidP="002603E7">
      <w:pPr>
        <w:pStyle w:val="NormalWeb"/>
        <w:spacing w:before="0" w:beforeAutospacing="0" w:after="0" w:afterAutospacing="0" w:line="480" w:lineRule="auto"/>
        <w:ind w:firstLine="720"/>
      </w:pPr>
      <w:r>
        <w:t xml:space="preserve">In conclusion, children’s literature and fantasy literature intersect but remain distinct categories, with fantasy defined by its imaginative and supernatural elements. Through the analysis of </w:t>
      </w:r>
      <w:r>
        <w:rPr>
          <w:rStyle w:val="Emphasis"/>
        </w:rPr>
        <w:t>The Story of the Husband and the Parrot</w:t>
      </w:r>
      <w:r>
        <w:t xml:space="preserve"> and </w:t>
      </w:r>
      <w:r>
        <w:rPr>
          <w:rStyle w:val="Emphasis"/>
        </w:rPr>
        <w:t>The Second Bakery Attack</w:t>
      </w:r>
      <w:r>
        <w:t>, it becomes evident that fantasy literature often follows structural patterns identified by Propp while also embodying Tolkien’s concept of fairy stories as meaningful imaginative worlds. Both works illustrate how fantasy can convey moral, psychological, and philosophical insights, demonstrating its enduring relevance across different cultural and literary contexts.</w:t>
      </w:r>
    </w:p>
    <w:p w14:paraId="6BCD0832" w14:textId="77777777" w:rsidR="002603E7" w:rsidRDefault="002603E7" w:rsidP="002603E7">
      <w:pPr>
        <w:pStyle w:val="NormalWeb"/>
        <w:spacing w:before="0" w:beforeAutospacing="0" w:after="0" w:afterAutospacing="0" w:line="480" w:lineRule="auto"/>
        <w:rPr>
          <w:rStyle w:val="Strong"/>
        </w:rPr>
      </w:pPr>
    </w:p>
    <w:p w14:paraId="748BF3B1" w14:textId="77777777" w:rsidR="002603E7" w:rsidRDefault="002603E7" w:rsidP="002603E7">
      <w:pPr>
        <w:pStyle w:val="NormalWeb"/>
        <w:spacing w:before="0" w:beforeAutospacing="0" w:after="0" w:afterAutospacing="0" w:line="480" w:lineRule="auto"/>
        <w:rPr>
          <w:rStyle w:val="Strong"/>
        </w:rPr>
      </w:pPr>
    </w:p>
    <w:p w14:paraId="76864CBE" w14:textId="77777777" w:rsidR="002603E7" w:rsidRDefault="002603E7" w:rsidP="002603E7">
      <w:pPr>
        <w:pStyle w:val="NormalWeb"/>
        <w:spacing w:before="0" w:beforeAutospacing="0" w:after="0" w:afterAutospacing="0" w:line="480" w:lineRule="auto"/>
        <w:rPr>
          <w:rStyle w:val="Strong"/>
        </w:rPr>
      </w:pPr>
    </w:p>
    <w:p w14:paraId="0BD23693" w14:textId="77777777" w:rsidR="002603E7" w:rsidRDefault="002603E7" w:rsidP="002603E7">
      <w:pPr>
        <w:pStyle w:val="NormalWeb"/>
        <w:spacing w:before="0" w:beforeAutospacing="0" w:after="0" w:afterAutospacing="0" w:line="480" w:lineRule="auto"/>
        <w:rPr>
          <w:rStyle w:val="Strong"/>
        </w:rPr>
      </w:pPr>
    </w:p>
    <w:p w14:paraId="63F90E66" w14:textId="77777777" w:rsidR="002603E7" w:rsidRDefault="002603E7" w:rsidP="002603E7">
      <w:pPr>
        <w:pStyle w:val="NormalWeb"/>
        <w:spacing w:before="0" w:beforeAutospacing="0" w:after="0" w:afterAutospacing="0" w:line="480" w:lineRule="auto"/>
        <w:rPr>
          <w:rStyle w:val="Strong"/>
        </w:rPr>
      </w:pPr>
    </w:p>
    <w:p w14:paraId="7277CDCC" w14:textId="77777777" w:rsidR="002603E7" w:rsidRDefault="002603E7" w:rsidP="002603E7">
      <w:pPr>
        <w:pStyle w:val="NormalWeb"/>
        <w:spacing w:before="0" w:beforeAutospacing="0" w:after="0" w:afterAutospacing="0" w:line="480" w:lineRule="auto"/>
        <w:rPr>
          <w:rStyle w:val="Strong"/>
        </w:rPr>
      </w:pPr>
    </w:p>
    <w:p w14:paraId="185BC6E1" w14:textId="77777777" w:rsidR="002603E7" w:rsidRDefault="002603E7" w:rsidP="002603E7">
      <w:pPr>
        <w:pStyle w:val="NormalWeb"/>
        <w:spacing w:before="0" w:beforeAutospacing="0" w:after="0" w:afterAutospacing="0" w:line="480" w:lineRule="auto"/>
        <w:rPr>
          <w:rStyle w:val="Strong"/>
        </w:rPr>
      </w:pPr>
    </w:p>
    <w:p w14:paraId="7D8B7C8F" w14:textId="77777777" w:rsidR="002603E7" w:rsidRDefault="002603E7" w:rsidP="002603E7">
      <w:pPr>
        <w:pStyle w:val="NormalWeb"/>
        <w:spacing w:before="0" w:beforeAutospacing="0" w:after="0" w:afterAutospacing="0" w:line="480" w:lineRule="auto"/>
        <w:rPr>
          <w:rStyle w:val="Strong"/>
        </w:rPr>
      </w:pPr>
    </w:p>
    <w:p w14:paraId="222D109C" w14:textId="77777777" w:rsidR="002603E7" w:rsidRDefault="002603E7" w:rsidP="002603E7">
      <w:pPr>
        <w:pStyle w:val="NormalWeb"/>
        <w:spacing w:before="0" w:beforeAutospacing="0" w:after="0" w:afterAutospacing="0" w:line="480" w:lineRule="auto"/>
        <w:rPr>
          <w:rStyle w:val="Strong"/>
        </w:rPr>
      </w:pPr>
    </w:p>
    <w:p w14:paraId="5E683FAE" w14:textId="77777777" w:rsidR="002603E7" w:rsidRDefault="002603E7" w:rsidP="002603E7">
      <w:pPr>
        <w:pStyle w:val="NormalWeb"/>
        <w:spacing w:before="0" w:beforeAutospacing="0" w:after="0" w:afterAutospacing="0" w:line="480" w:lineRule="auto"/>
        <w:rPr>
          <w:rStyle w:val="Strong"/>
        </w:rPr>
      </w:pPr>
    </w:p>
    <w:p w14:paraId="580505A6" w14:textId="77777777" w:rsidR="002603E7" w:rsidRDefault="002603E7" w:rsidP="002603E7">
      <w:pPr>
        <w:pStyle w:val="NormalWeb"/>
        <w:spacing w:before="0" w:beforeAutospacing="0" w:after="0" w:afterAutospacing="0" w:line="480" w:lineRule="auto"/>
        <w:rPr>
          <w:rStyle w:val="Strong"/>
        </w:rPr>
      </w:pPr>
    </w:p>
    <w:p w14:paraId="21492AF9" w14:textId="77777777" w:rsidR="002603E7" w:rsidRDefault="002603E7" w:rsidP="002603E7">
      <w:pPr>
        <w:pStyle w:val="NormalWeb"/>
        <w:spacing w:before="0" w:beforeAutospacing="0" w:after="0" w:afterAutospacing="0" w:line="480" w:lineRule="auto"/>
        <w:rPr>
          <w:rStyle w:val="Strong"/>
        </w:rPr>
      </w:pPr>
    </w:p>
    <w:p w14:paraId="6638E85F" w14:textId="77777777" w:rsidR="002603E7" w:rsidRDefault="002603E7" w:rsidP="002603E7">
      <w:pPr>
        <w:pStyle w:val="NormalWeb"/>
        <w:spacing w:before="0" w:beforeAutospacing="0" w:after="0" w:afterAutospacing="0" w:line="480" w:lineRule="auto"/>
        <w:rPr>
          <w:rStyle w:val="Strong"/>
        </w:rPr>
      </w:pPr>
    </w:p>
    <w:p w14:paraId="779EB138" w14:textId="77777777" w:rsidR="002603E7" w:rsidRDefault="002603E7" w:rsidP="002603E7">
      <w:pPr>
        <w:pStyle w:val="NormalWeb"/>
        <w:spacing w:before="0" w:beforeAutospacing="0" w:after="0" w:afterAutospacing="0" w:line="480" w:lineRule="auto"/>
        <w:rPr>
          <w:rStyle w:val="Strong"/>
        </w:rPr>
      </w:pPr>
    </w:p>
    <w:p w14:paraId="262B578E" w14:textId="22BAE98E" w:rsidR="002603E7" w:rsidRDefault="002603E7" w:rsidP="002603E7">
      <w:pPr>
        <w:pStyle w:val="NormalWeb"/>
        <w:spacing w:before="0" w:beforeAutospacing="0" w:after="0" w:afterAutospacing="0" w:line="480" w:lineRule="auto"/>
        <w:jc w:val="center"/>
      </w:pPr>
      <w:r>
        <w:rPr>
          <w:rStyle w:val="Strong"/>
        </w:rPr>
        <w:lastRenderedPageBreak/>
        <w:t>References</w:t>
      </w:r>
    </w:p>
    <w:p w14:paraId="67CAB7ED" w14:textId="77777777" w:rsidR="002603E7" w:rsidRDefault="002603E7" w:rsidP="002603E7">
      <w:pPr>
        <w:pStyle w:val="NormalWeb"/>
        <w:spacing w:before="0" w:beforeAutospacing="0" w:after="0" w:afterAutospacing="0" w:line="480" w:lineRule="auto"/>
        <w:ind w:left="720" w:hanging="720"/>
      </w:pPr>
      <w:r>
        <w:t xml:space="preserve">Mallik, N. (2024). </w:t>
      </w:r>
      <w:r>
        <w:rPr>
          <w:rStyle w:val="Emphasis"/>
        </w:rPr>
        <w:t>An overview of fantasy literature, science fiction and magical realism</w:t>
      </w:r>
      <w:r>
        <w:t>. University of the People.</w:t>
      </w:r>
    </w:p>
    <w:p w14:paraId="66FEFB07" w14:textId="77777777" w:rsidR="002603E7" w:rsidRDefault="002603E7" w:rsidP="002603E7">
      <w:pPr>
        <w:pStyle w:val="NormalWeb"/>
        <w:spacing w:before="0" w:beforeAutospacing="0" w:after="0" w:afterAutospacing="0" w:line="480" w:lineRule="auto"/>
        <w:ind w:left="720" w:hanging="720"/>
      </w:pPr>
      <w:r>
        <w:t xml:space="preserve">Murakami, H. (2022). </w:t>
      </w:r>
      <w:r>
        <w:rPr>
          <w:rStyle w:val="Emphasis"/>
        </w:rPr>
        <w:t>The second bakery attack</w:t>
      </w:r>
      <w:r>
        <w:t xml:space="preserve">. In A. Turlington et al., </w:t>
      </w:r>
      <w:r>
        <w:rPr>
          <w:rStyle w:val="Emphasis"/>
        </w:rPr>
        <w:t>Compact anthology of world literature II</w:t>
      </w:r>
      <w:r>
        <w:t>. University Press of North Georgia.</w:t>
      </w:r>
    </w:p>
    <w:p w14:paraId="5EF12604" w14:textId="77777777" w:rsidR="002603E7" w:rsidRDefault="002603E7" w:rsidP="002603E7">
      <w:pPr>
        <w:pStyle w:val="NormalWeb"/>
        <w:spacing w:before="0" w:beforeAutospacing="0" w:after="0" w:afterAutospacing="0" w:line="480" w:lineRule="auto"/>
        <w:ind w:left="720" w:hanging="720"/>
      </w:pPr>
      <w:r>
        <w:t xml:space="preserve">Tagore, R. (2022). </w:t>
      </w:r>
      <w:r>
        <w:rPr>
          <w:rStyle w:val="Emphasis"/>
        </w:rPr>
        <w:t>The Cabuliwallah</w:t>
      </w:r>
      <w:r>
        <w:t xml:space="preserve">. In A. Turlington et al., </w:t>
      </w:r>
      <w:r>
        <w:rPr>
          <w:rStyle w:val="Emphasis"/>
        </w:rPr>
        <w:t>Compact anthology of world literature II</w:t>
      </w:r>
      <w:r>
        <w:t>. University Press of North Georgia.</w:t>
      </w:r>
    </w:p>
    <w:p w14:paraId="644C4590" w14:textId="77777777" w:rsidR="002603E7" w:rsidRDefault="002603E7" w:rsidP="002603E7">
      <w:pPr>
        <w:pStyle w:val="NormalWeb"/>
        <w:spacing w:before="0" w:beforeAutospacing="0" w:after="0" w:afterAutospacing="0" w:line="480" w:lineRule="auto"/>
        <w:ind w:left="720" w:hanging="720"/>
      </w:pPr>
      <w:r>
        <w:rPr>
          <w:rStyle w:val="Emphasis"/>
        </w:rPr>
        <w:t>The story of the husband and the parrot</w:t>
      </w:r>
      <w:r>
        <w:t xml:space="preserve">. (2020). In L. Getty et al., </w:t>
      </w:r>
      <w:r>
        <w:rPr>
          <w:rStyle w:val="Emphasis"/>
        </w:rPr>
        <w:t>World literature I: Beginnings to 1650</w:t>
      </w:r>
      <w:r>
        <w:t>. University Press of North Georgia.</w:t>
      </w:r>
    </w:p>
    <w:p w14:paraId="5D15848B" w14:textId="77777777" w:rsidR="002603E7" w:rsidRDefault="002603E7" w:rsidP="002603E7">
      <w:pPr>
        <w:pStyle w:val="NormalWeb"/>
        <w:spacing w:before="0" w:beforeAutospacing="0" w:after="0" w:afterAutospacing="0" w:line="480" w:lineRule="auto"/>
        <w:ind w:left="720" w:hanging="720"/>
      </w:pPr>
      <w:r>
        <w:t xml:space="preserve">Tolkien, J. R. R. (n.d.). </w:t>
      </w:r>
      <w:r>
        <w:rPr>
          <w:rStyle w:val="Emphasis"/>
        </w:rPr>
        <w:t>On fairy stories</w:t>
      </w:r>
      <w:r>
        <w:t xml:space="preserve">. </w:t>
      </w:r>
      <w:hyperlink r:id="rId7" w:history="1">
        <w:r>
          <w:rPr>
            <w:rStyle w:val="Hyperlink"/>
          </w:rPr>
          <w:t>https://ieas-szeged.hu/downtherabbithole/wp-content/uploads/2020/02/Tolkien-On-Fairy-Stories.pdf</w:t>
        </w:r>
      </w:hyperlink>
    </w:p>
    <w:p w14:paraId="43591FDB" w14:textId="5D3FDA91" w:rsidR="00856CC9" w:rsidRPr="00856CC9" w:rsidRDefault="00856CC9" w:rsidP="00856CC9">
      <w:pPr>
        <w:pStyle w:val="NormalWeb"/>
      </w:pPr>
    </w:p>
    <w:sectPr w:rsidR="00856CC9" w:rsidRPr="00856CC9">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C1AFC" w14:textId="77777777" w:rsidR="008817CC" w:rsidRDefault="008817CC" w:rsidP="00302292">
      <w:pPr>
        <w:spacing w:after="0" w:line="240" w:lineRule="auto"/>
      </w:pPr>
      <w:r>
        <w:separator/>
      </w:r>
    </w:p>
  </w:endnote>
  <w:endnote w:type="continuationSeparator" w:id="0">
    <w:p w14:paraId="3ADA3472" w14:textId="77777777" w:rsidR="008817CC" w:rsidRDefault="008817CC" w:rsidP="00302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7806D" w14:textId="77777777" w:rsidR="008817CC" w:rsidRDefault="008817CC" w:rsidP="00302292">
      <w:pPr>
        <w:spacing w:after="0" w:line="240" w:lineRule="auto"/>
      </w:pPr>
      <w:r>
        <w:separator/>
      </w:r>
    </w:p>
  </w:footnote>
  <w:footnote w:type="continuationSeparator" w:id="0">
    <w:p w14:paraId="0FEEA060" w14:textId="77777777" w:rsidR="008817CC" w:rsidRDefault="008817CC" w:rsidP="003022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44969360"/>
      <w:docPartObj>
        <w:docPartGallery w:val="Page Numbers (Top of Page)"/>
        <w:docPartUnique/>
      </w:docPartObj>
    </w:sdtPr>
    <w:sdtEndPr>
      <w:rPr>
        <w:noProof/>
      </w:rPr>
    </w:sdtEndPr>
    <w:sdtContent>
      <w:p w14:paraId="7E82D082" w14:textId="0E4B5711" w:rsidR="00302292" w:rsidRPr="00302292" w:rsidRDefault="00302292">
        <w:pPr>
          <w:pStyle w:val="Header"/>
          <w:jc w:val="right"/>
          <w:rPr>
            <w:rFonts w:ascii="Times New Roman" w:hAnsi="Times New Roman" w:cs="Times New Roman"/>
            <w:sz w:val="24"/>
            <w:szCs w:val="24"/>
          </w:rPr>
        </w:pPr>
        <w:r w:rsidRPr="00302292">
          <w:rPr>
            <w:rFonts w:ascii="Times New Roman" w:hAnsi="Times New Roman" w:cs="Times New Roman"/>
            <w:sz w:val="24"/>
            <w:szCs w:val="24"/>
          </w:rPr>
          <w:fldChar w:fldCharType="begin"/>
        </w:r>
        <w:r w:rsidRPr="00302292">
          <w:rPr>
            <w:rFonts w:ascii="Times New Roman" w:hAnsi="Times New Roman" w:cs="Times New Roman"/>
            <w:sz w:val="24"/>
            <w:szCs w:val="24"/>
          </w:rPr>
          <w:instrText xml:space="preserve"> PAGE   \* MERGEFORMAT </w:instrText>
        </w:r>
        <w:r w:rsidRPr="00302292">
          <w:rPr>
            <w:rFonts w:ascii="Times New Roman" w:hAnsi="Times New Roman" w:cs="Times New Roman"/>
            <w:sz w:val="24"/>
            <w:szCs w:val="24"/>
          </w:rPr>
          <w:fldChar w:fldCharType="separate"/>
        </w:r>
        <w:r w:rsidRPr="00302292">
          <w:rPr>
            <w:rFonts w:ascii="Times New Roman" w:hAnsi="Times New Roman" w:cs="Times New Roman"/>
            <w:noProof/>
            <w:sz w:val="24"/>
            <w:szCs w:val="24"/>
          </w:rPr>
          <w:t>2</w:t>
        </w:r>
        <w:r w:rsidRPr="00302292">
          <w:rPr>
            <w:rFonts w:ascii="Times New Roman" w:hAnsi="Times New Roman" w:cs="Times New Roman"/>
            <w:noProof/>
            <w:sz w:val="24"/>
            <w:szCs w:val="24"/>
          </w:rPr>
          <w:fldChar w:fldCharType="end"/>
        </w:r>
      </w:p>
    </w:sdtContent>
  </w:sdt>
  <w:p w14:paraId="7B5F5961" w14:textId="77777777" w:rsidR="00302292" w:rsidRDefault="003022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2662E"/>
    <w:multiLevelType w:val="multilevel"/>
    <w:tmpl w:val="686A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456638"/>
    <w:multiLevelType w:val="multilevel"/>
    <w:tmpl w:val="9760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8D47D1"/>
    <w:multiLevelType w:val="multilevel"/>
    <w:tmpl w:val="DCB25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524203">
    <w:abstractNumId w:val="0"/>
  </w:num>
  <w:num w:numId="2" w16cid:durableId="721372003">
    <w:abstractNumId w:val="1"/>
  </w:num>
  <w:num w:numId="3" w16cid:durableId="1935673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1tTQyMDMztjQyMjdV0lEKTi0uzszPAykwrAUAJUL5ViwAAAA="/>
  </w:docVars>
  <w:rsids>
    <w:rsidRoot w:val="004421DA"/>
    <w:rsid w:val="000362DD"/>
    <w:rsid w:val="00055469"/>
    <w:rsid w:val="000716E9"/>
    <w:rsid w:val="000D18AD"/>
    <w:rsid w:val="00121B23"/>
    <w:rsid w:val="001D7B42"/>
    <w:rsid w:val="002268E1"/>
    <w:rsid w:val="002603E7"/>
    <w:rsid w:val="00264153"/>
    <w:rsid w:val="00302292"/>
    <w:rsid w:val="0032096F"/>
    <w:rsid w:val="004419DC"/>
    <w:rsid w:val="004421DA"/>
    <w:rsid w:val="0047095B"/>
    <w:rsid w:val="004D1099"/>
    <w:rsid w:val="004E4643"/>
    <w:rsid w:val="004E77EC"/>
    <w:rsid w:val="00533041"/>
    <w:rsid w:val="005D6361"/>
    <w:rsid w:val="0060152E"/>
    <w:rsid w:val="0063534D"/>
    <w:rsid w:val="00655AC8"/>
    <w:rsid w:val="00772062"/>
    <w:rsid w:val="00785CC1"/>
    <w:rsid w:val="00827EB9"/>
    <w:rsid w:val="00856CC9"/>
    <w:rsid w:val="008817CC"/>
    <w:rsid w:val="008F0765"/>
    <w:rsid w:val="008F5E2A"/>
    <w:rsid w:val="009D103B"/>
    <w:rsid w:val="009E5940"/>
    <w:rsid w:val="00A300EA"/>
    <w:rsid w:val="00A35799"/>
    <w:rsid w:val="00A85D90"/>
    <w:rsid w:val="00AE0E21"/>
    <w:rsid w:val="00B4226B"/>
    <w:rsid w:val="00B804B7"/>
    <w:rsid w:val="00BB303F"/>
    <w:rsid w:val="00C35DC7"/>
    <w:rsid w:val="00C4413B"/>
    <w:rsid w:val="00C52066"/>
    <w:rsid w:val="00C949F5"/>
    <w:rsid w:val="00CA0B8E"/>
    <w:rsid w:val="00D13054"/>
    <w:rsid w:val="00D323BE"/>
    <w:rsid w:val="00D76D23"/>
    <w:rsid w:val="00D76F54"/>
    <w:rsid w:val="00E71FF6"/>
    <w:rsid w:val="00EB6FA0"/>
    <w:rsid w:val="00F51343"/>
    <w:rsid w:val="00F75572"/>
    <w:rsid w:val="00F86800"/>
    <w:rsid w:val="00FA3711"/>
    <w:rsid w:val="00FE6E3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0C792C"/>
  <w15:chartTrackingRefBased/>
  <w15:docId w15:val="{24773435-6725-4353-BE7B-171B9B68E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1DA"/>
    <w:rPr>
      <w:rFonts w:eastAsiaTheme="majorEastAsia" w:cstheme="majorBidi"/>
      <w:color w:val="272727" w:themeColor="text1" w:themeTint="D8"/>
    </w:rPr>
  </w:style>
  <w:style w:type="paragraph" w:styleId="Title">
    <w:name w:val="Title"/>
    <w:basedOn w:val="Normal"/>
    <w:next w:val="Normal"/>
    <w:link w:val="TitleChar"/>
    <w:uiPriority w:val="10"/>
    <w:qFormat/>
    <w:rsid w:val="00442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1DA"/>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1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21DA"/>
    <w:rPr>
      <w:i/>
      <w:iCs/>
      <w:color w:val="404040" w:themeColor="text1" w:themeTint="BF"/>
    </w:rPr>
  </w:style>
  <w:style w:type="paragraph" w:styleId="ListParagraph">
    <w:name w:val="List Paragraph"/>
    <w:basedOn w:val="Normal"/>
    <w:uiPriority w:val="34"/>
    <w:qFormat/>
    <w:rsid w:val="004421DA"/>
    <w:pPr>
      <w:ind w:left="720"/>
      <w:contextualSpacing/>
    </w:pPr>
  </w:style>
  <w:style w:type="character" w:styleId="IntenseEmphasis">
    <w:name w:val="Intense Emphasis"/>
    <w:basedOn w:val="DefaultParagraphFont"/>
    <w:uiPriority w:val="21"/>
    <w:qFormat/>
    <w:rsid w:val="004421DA"/>
    <w:rPr>
      <w:i/>
      <w:iCs/>
      <w:color w:val="0F4761" w:themeColor="accent1" w:themeShade="BF"/>
    </w:rPr>
  </w:style>
  <w:style w:type="paragraph" w:styleId="IntenseQuote">
    <w:name w:val="Intense Quote"/>
    <w:basedOn w:val="Normal"/>
    <w:next w:val="Normal"/>
    <w:link w:val="IntenseQuoteChar"/>
    <w:uiPriority w:val="30"/>
    <w:qFormat/>
    <w:rsid w:val="00442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1DA"/>
    <w:rPr>
      <w:i/>
      <w:iCs/>
      <w:color w:val="0F4761" w:themeColor="accent1" w:themeShade="BF"/>
    </w:rPr>
  </w:style>
  <w:style w:type="character" w:styleId="IntenseReference">
    <w:name w:val="Intense Reference"/>
    <w:basedOn w:val="DefaultParagraphFont"/>
    <w:uiPriority w:val="32"/>
    <w:qFormat/>
    <w:rsid w:val="004421DA"/>
    <w:rPr>
      <w:b/>
      <w:bCs/>
      <w:smallCaps/>
      <w:color w:val="0F4761" w:themeColor="accent1" w:themeShade="BF"/>
      <w:spacing w:val="5"/>
    </w:rPr>
  </w:style>
  <w:style w:type="character" w:customStyle="1" w:styleId="wiseone-analysis-result">
    <w:name w:val="wiseone-analysis-result"/>
    <w:basedOn w:val="DefaultParagraphFont"/>
    <w:rsid w:val="00C35DC7"/>
  </w:style>
  <w:style w:type="character" w:styleId="Emphasis">
    <w:name w:val="Emphasis"/>
    <w:basedOn w:val="DefaultParagraphFont"/>
    <w:uiPriority w:val="20"/>
    <w:qFormat/>
    <w:rsid w:val="00C35DC7"/>
    <w:rPr>
      <w:i/>
      <w:iCs/>
    </w:rPr>
  </w:style>
  <w:style w:type="character" w:styleId="Hyperlink">
    <w:name w:val="Hyperlink"/>
    <w:basedOn w:val="DefaultParagraphFont"/>
    <w:uiPriority w:val="99"/>
    <w:unhideWhenUsed/>
    <w:rsid w:val="00C35DC7"/>
    <w:rPr>
      <w:color w:val="0000FF"/>
      <w:u w:val="single"/>
    </w:rPr>
  </w:style>
  <w:style w:type="character" w:styleId="UnresolvedMention">
    <w:name w:val="Unresolved Mention"/>
    <w:basedOn w:val="DefaultParagraphFont"/>
    <w:uiPriority w:val="99"/>
    <w:semiHidden/>
    <w:unhideWhenUsed/>
    <w:rsid w:val="00C52066"/>
    <w:rPr>
      <w:color w:val="605E5C"/>
      <w:shd w:val="clear" w:color="auto" w:fill="E1DFDD"/>
    </w:rPr>
  </w:style>
  <w:style w:type="paragraph" w:styleId="Header">
    <w:name w:val="header"/>
    <w:basedOn w:val="Normal"/>
    <w:link w:val="HeaderChar"/>
    <w:uiPriority w:val="99"/>
    <w:unhideWhenUsed/>
    <w:rsid w:val="00302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292"/>
  </w:style>
  <w:style w:type="paragraph" w:styleId="Footer">
    <w:name w:val="footer"/>
    <w:basedOn w:val="Normal"/>
    <w:link w:val="FooterChar"/>
    <w:uiPriority w:val="99"/>
    <w:unhideWhenUsed/>
    <w:rsid w:val="00302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292"/>
  </w:style>
  <w:style w:type="paragraph" w:styleId="NormalWeb">
    <w:name w:val="Normal (Web)"/>
    <w:basedOn w:val="Normal"/>
    <w:uiPriority w:val="99"/>
    <w:unhideWhenUsed/>
    <w:rsid w:val="00CA0B8E"/>
    <w:pPr>
      <w:spacing w:before="100" w:beforeAutospacing="1" w:after="100" w:afterAutospacing="1" w:line="240" w:lineRule="auto"/>
      <w:ind w:left="0" w:right="0"/>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785C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65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eas-szeged.hu/downtherabbithole/wp-content/uploads/2020/02/Tolkien-On-Fairy-Storie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DCC087-542F-6C48-85B1-DF826296FFD7}">
  <we:reference id="wa200001011" version="1.4.0.0" store="en-US" storeType="OMEX"/>
  <we:alternateReferences>
    <we:reference id="wa200001011" version="1.4.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25</TotalTime>
  <Pages>5</Pages>
  <Words>936</Words>
  <Characters>5339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2026-03-18T21:33:00Z</dcterms:created>
  <dcterms:modified xsi:type="dcterms:W3CDTF">2026-03-18T22:16:00Z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e1625c19-90f5-460b-86ac-bbc43947d694</vt:lpwstr>
  </property>
  <property fmtid="{D5CDD505-2E9C-101B-9397-08002B2CF9AE}" pid="3" name="grammarly_documentId">
    <vt:lpwstr>documentId_4607</vt:lpwstr>
  </property>
  <property fmtid="{D5CDD505-2E9C-101B-9397-08002B2CF9AE}" pid="4" name="grammarly_documentContext">
    <vt:lpwstr>{"goals":[],"domain":"general","emotions":[],"dialect":"british"}</vt:lpwstr>
  </property>
</Properties>
</file>