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9B3C" w14:textId="77777777" w:rsidR="00793525" w:rsidRDefault="00793525">
      <w:pPr>
        <w:pStyle w:val="Heading1"/>
        <w:rPr>
          <w:rFonts w:ascii="Times New Roman" w:hAnsi="Times New Roman"/>
          <w:color w:val="000000"/>
          <w:sz w:val="24"/>
          <w:szCs w:val="24"/>
        </w:rPr>
      </w:pPr>
    </w:p>
    <w:p w14:paraId="5B7C25F6" w14:textId="77777777" w:rsidR="00793525" w:rsidRDefault="00793525">
      <w:pPr>
        <w:pStyle w:val="BodyText"/>
        <w:spacing w:before="240" w:after="120" w:line="240" w:lineRule="auto"/>
        <w:rPr>
          <w:rFonts w:ascii="Times New Roman" w:hAnsi="Times New Roman"/>
          <w:color w:val="000000"/>
        </w:rPr>
      </w:pPr>
    </w:p>
    <w:p w14:paraId="44C92E0D" w14:textId="77777777" w:rsidR="00793525" w:rsidRDefault="00793525">
      <w:pPr>
        <w:pStyle w:val="BodyText"/>
        <w:spacing w:before="240" w:after="120" w:line="240" w:lineRule="auto"/>
        <w:rPr>
          <w:rFonts w:ascii="Times New Roman" w:hAnsi="Times New Roman"/>
          <w:color w:val="000000"/>
        </w:rPr>
      </w:pPr>
    </w:p>
    <w:p w14:paraId="74F880D6" w14:textId="77777777" w:rsidR="00793525" w:rsidRDefault="00793525">
      <w:pPr>
        <w:pStyle w:val="BodyText"/>
        <w:spacing w:before="240" w:after="120" w:line="240" w:lineRule="auto"/>
        <w:rPr>
          <w:rFonts w:ascii="Times New Roman" w:hAnsi="Times New Roman"/>
          <w:color w:val="000000"/>
        </w:rPr>
      </w:pPr>
    </w:p>
    <w:p w14:paraId="66140352" w14:textId="77777777" w:rsidR="00166738" w:rsidRPr="00166738" w:rsidRDefault="00166738" w:rsidP="00166738">
      <w:pPr>
        <w:pStyle w:val="gds-typography"/>
        <w:spacing w:before="0" w:beforeAutospacing="0" w:after="0" w:afterAutospacing="0" w:line="480" w:lineRule="auto"/>
        <w:jc w:val="center"/>
        <w:rPr>
          <w:b/>
          <w:bCs/>
          <w:color w:val="000000"/>
        </w:rPr>
      </w:pPr>
      <w:r w:rsidRPr="00166738">
        <w:rPr>
          <w:rStyle w:val="Strong"/>
          <w:b w:val="0"/>
          <w:bCs w:val="0"/>
          <w:color w:val="000000"/>
        </w:rPr>
        <w:t>Client–Server and Data-Server Architectures</w:t>
      </w:r>
    </w:p>
    <w:p w14:paraId="7673DC86" w14:textId="77777777" w:rsidR="00793525" w:rsidRDefault="00793525">
      <w:pPr>
        <w:pStyle w:val="BodyText"/>
        <w:spacing w:line="240" w:lineRule="auto"/>
        <w:jc w:val="center"/>
        <w:rPr>
          <w:rFonts w:ascii="Times New Roman" w:hAnsi="Times New Roman"/>
          <w:b/>
          <w:bCs/>
          <w:color w:val="1D2125"/>
        </w:rPr>
      </w:pPr>
    </w:p>
    <w:p w14:paraId="55DFF3B2" w14:textId="77777777" w:rsidR="00793525" w:rsidRDefault="00793525">
      <w:pPr>
        <w:pStyle w:val="BodyText"/>
        <w:spacing w:line="240" w:lineRule="auto"/>
        <w:jc w:val="center"/>
        <w:rPr>
          <w:rFonts w:ascii="Times New Roman" w:hAnsi="Times New Roman"/>
          <w:b/>
          <w:bCs/>
          <w:color w:val="1D2125"/>
        </w:rPr>
      </w:pPr>
    </w:p>
    <w:p w14:paraId="0B94C69D" w14:textId="77777777" w:rsidR="00793525" w:rsidRDefault="00793525">
      <w:pPr>
        <w:pStyle w:val="BodyText"/>
        <w:spacing w:after="0" w:line="240" w:lineRule="auto"/>
        <w:jc w:val="center"/>
        <w:rPr>
          <w:rFonts w:ascii="Times New Roman" w:hAnsi="Times New Roman"/>
          <w:color w:val="000000"/>
        </w:rPr>
      </w:pPr>
    </w:p>
    <w:p w14:paraId="65942B6E" w14:textId="77777777" w:rsidR="00793525" w:rsidRDefault="00793525">
      <w:pPr>
        <w:pStyle w:val="BodyText"/>
        <w:spacing w:after="0" w:line="240" w:lineRule="auto"/>
        <w:jc w:val="center"/>
        <w:rPr>
          <w:rFonts w:ascii="Times New Roman" w:hAnsi="Times New Roman"/>
          <w:color w:val="000000"/>
        </w:rPr>
      </w:pPr>
    </w:p>
    <w:p w14:paraId="00531639" w14:textId="77777777" w:rsidR="00793525" w:rsidRDefault="00793525">
      <w:pPr>
        <w:pStyle w:val="BodyText"/>
        <w:spacing w:after="0" w:line="240" w:lineRule="auto"/>
        <w:jc w:val="center"/>
        <w:rPr>
          <w:rFonts w:ascii="Times New Roman" w:hAnsi="Times New Roman"/>
          <w:color w:val="000000"/>
        </w:rPr>
      </w:pPr>
    </w:p>
    <w:p w14:paraId="0E883478" w14:textId="77777777" w:rsidR="00793525" w:rsidRDefault="00793525">
      <w:pPr>
        <w:pStyle w:val="BodyText"/>
        <w:spacing w:after="0" w:line="240" w:lineRule="auto"/>
        <w:jc w:val="center"/>
        <w:rPr>
          <w:rFonts w:ascii="Times New Roman" w:hAnsi="Times New Roman"/>
          <w:color w:val="000000"/>
        </w:rPr>
      </w:pPr>
    </w:p>
    <w:p w14:paraId="1A519612" w14:textId="77777777" w:rsidR="00793525" w:rsidRDefault="00793525">
      <w:pPr>
        <w:pStyle w:val="BodyText"/>
        <w:spacing w:after="0" w:line="240" w:lineRule="auto"/>
        <w:jc w:val="center"/>
        <w:rPr>
          <w:rFonts w:ascii="Times New Roman" w:hAnsi="Times New Roman"/>
          <w:color w:val="000000"/>
        </w:rPr>
      </w:pPr>
    </w:p>
    <w:p w14:paraId="46F6F468"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An Assignment submitted in partial fulfillment of the requirements for the degree of</w:t>
      </w:r>
    </w:p>
    <w:p w14:paraId="0B0B0AD7"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Bachelor of Science</w:t>
      </w:r>
    </w:p>
    <w:p w14:paraId="41AB839E"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in</w:t>
      </w:r>
    </w:p>
    <w:p w14:paraId="6BE51000"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Computer Science</w:t>
      </w:r>
    </w:p>
    <w:p w14:paraId="4DA3B467" w14:textId="77777777" w:rsidR="00793525" w:rsidRDefault="00793525">
      <w:pPr>
        <w:pStyle w:val="BodyText"/>
        <w:shd w:val="clear" w:color="auto" w:fill="FFFFFF"/>
        <w:spacing w:after="0" w:line="240" w:lineRule="auto"/>
        <w:jc w:val="center"/>
        <w:rPr>
          <w:rFonts w:ascii="Times New Roman" w:hAnsi="Times New Roman"/>
          <w:color w:val="000000"/>
        </w:rPr>
      </w:pPr>
    </w:p>
    <w:p w14:paraId="1C4CBC8B"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CS 3306: Databases 2</w:t>
      </w:r>
    </w:p>
    <w:p w14:paraId="46E9F444" w14:textId="77777777" w:rsidR="00793525" w:rsidRDefault="00793525">
      <w:pPr>
        <w:pStyle w:val="BodyText"/>
        <w:shd w:val="clear" w:color="auto" w:fill="FFFFFF"/>
        <w:spacing w:after="0" w:line="240" w:lineRule="auto"/>
        <w:jc w:val="center"/>
        <w:rPr>
          <w:rFonts w:ascii="Times New Roman" w:hAnsi="Times New Roman"/>
          <w:color w:val="000000"/>
        </w:rPr>
      </w:pPr>
    </w:p>
    <w:p w14:paraId="184CB164"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Term 4 - 2025</w:t>
      </w:r>
    </w:p>
    <w:p w14:paraId="513E1741"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University of The People</w:t>
      </w:r>
    </w:p>
    <w:p w14:paraId="560EEEDB" w14:textId="77777777" w:rsidR="00793525" w:rsidRDefault="00793525">
      <w:pPr>
        <w:pStyle w:val="BodyText"/>
        <w:shd w:val="clear" w:color="auto" w:fill="FFFFFF"/>
        <w:spacing w:after="0" w:line="240" w:lineRule="auto"/>
        <w:jc w:val="center"/>
        <w:rPr>
          <w:rFonts w:ascii="Times New Roman" w:hAnsi="Times New Roman"/>
          <w:color w:val="000000"/>
        </w:rPr>
      </w:pPr>
    </w:p>
    <w:p w14:paraId="15EE2406"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Instructor: Dr. Afrah Nazir</w:t>
      </w:r>
    </w:p>
    <w:p w14:paraId="6BE8B333" w14:textId="77777777" w:rsidR="00793525" w:rsidRDefault="00793525">
      <w:pPr>
        <w:pStyle w:val="BodyText"/>
        <w:shd w:val="clear" w:color="auto" w:fill="FFFFFF"/>
        <w:spacing w:after="0" w:line="240" w:lineRule="auto"/>
        <w:jc w:val="center"/>
        <w:rPr>
          <w:rFonts w:ascii="Times New Roman" w:hAnsi="Times New Roman"/>
          <w:color w:val="000000"/>
        </w:rPr>
      </w:pPr>
    </w:p>
    <w:p w14:paraId="592F8E22" w14:textId="77777777" w:rsidR="00793525" w:rsidRDefault="00793525">
      <w:pPr>
        <w:pStyle w:val="BodyText"/>
        <w:shd w:val="clear" w:color="auto" w:fill="FFFFFF"/>
        <w:spacing w:after="0" w:line="240" w:lineRule="auto"/>
        <w:jc w:val="center"/>
        <w:rPr>
          <w:rFonts w:ascii="Times New Roman" w:hAnsi="Times New Roman"/>
          <w:color w:val="000000"/>
        </w:rPr>
      </w:pPr>
    </w:p>
    <w:p w14:paraId="106C89B1" w14:textId="77777777" w:rsidR="00793525" w:rsidRDefault="00793525">
      <w:pPr>
        <w:pStyle w:val="BodyText"/>
        <w:shd w:val="clear" w:color="auto" w:fill="FFFFFF"/>
        <w:spacing w:after="0" w:line="240" w:lineRule="auto"/>
        <w:jc w:val="center"/>
        <w:rPr>
          <w:rFonts w:ascii="Times New Roman" w:hAnsi="Times New Roman"/>
          <w:color w:val="000000"/>
        </w:rPr>
      </w:pPr>
    </w:p>
    <w:p w14:paraId="2EEB0EE3" w14:textId="77777777" w:rsidR="00793525" w:rsidRDefault="00793525">
      <w:pPr>
        <w:pStyle w:val="BodyText"/>
        <w:shd w:val="clear" w:color="auto" w:fill="FFFFFF"/>
        <w:spacing w:after="0" w:line="240" w:lineRule="auto"/>
        <w:jc w:val="center"/>
        <w:rPr>
          <w:rFonts w:ascii="Times New Roman" w:hAnsi="Times New Roman"/>
          <w:color w:val="000000"/>
        </w:rPr>
      </w:pPr>
    </w:p>
    <w:p w14:paraId="0AA6EE2A" w14:textId="77777777" w:rsidR="00793525" w:rsidRDefault="00793525">
      <w:pPr>
        <w:pStyle w:val="BodyText"/>
        <w:shd w:val="clear" w:color="auto" w:fill="FFFFFF"/>
        <w:spacing w:after="0" w:line="240" w:lineRule="auto"/>
        <w:jc w:val="center"/>
        <w:rPr>
          <w:rFonts w:ascii="Times New Roman" w:hAnsi="Times New Roman"/>
          <w:color w:val="000000"/>
        </w:rPr>
      </w:pPr>
    </w:p>
    <w:p w14:paraId="410B709D" w14:textId="77777777" w:rsidR="00793525" w:rsidRDefault="00793525">
      <w:pPr>
        <w:pStyle w:val="BodyText"/>
        <w:shd w:val="clear" w:color="auto" w:fill="FFFFFF"/>
        <w:spacing w:after="0" w:line="240" w:lineRule="auto"/>
        <w:jc w:val="center"/>
        <w:rPr>
          <w:rFonts w:ascii="Times New Roman" w:hAnsi="Times New Roman"/>
          <w:color w:val="000000"/>
        </w:rPr>
      </w:pPr>
    </w:p>
    <w:p w14:paraId="6EEC0914" w14:textId="77777777" w:rsidR="00793525" w:rsidRDefault="00793525">
      <w:pPr>
        <w:pStyle w:val="BodyText"/>
        <w:shd w:val="clear" w:color="auto" w:fill="FFFFFF"/>
        <w:spacing w:after="0" w:line="240" w:lineRule="auto"/>
        <w:jc w:val="center"/>
        <w:rPr>
          <w:rFonts w:ascii="Times New Roman" w:hAnsi="Times New Roman"/>
          <w:color w:val="000000"/>
        </w:rPr>
      </w:pPr>
    </w:p>
    <w:p w14:paraId="7025407E" w14:textId="77777777" w:rsidR="00793525" w:rsidRDefault="00793525">
      <w:pPr>
        <w:pStyle w:val="BodyText"/>
        <w:shd w:val="clear" w:color="auto" w:fill="FFFFFF"/>
        <w:spacing w:after="0" w:line="240" w:lineRule="auto"/>
        <w:jc w:val="center"/>
        <w:rPr>
          <w:rFonts w:ascii="Times New Roman" w:hAnsi="Times New Roman"/>
          <w:color w:val="000000"/>
        </w:rPr>
      </w:pPr>
    </w:p>
    <w:p w14:paraId="60282845" w14:textId="77777777" w:rsidR="00793525" w:rsidRDefault="00793525">
      <w:pPr>
        <w:pStyle w:val="BodyText"/>
        <w:shd w:val="clear" w:color="auto" w:fill="FFFFFF"/>
        <w:spacing w:after="0" w:line="240" w:lineRule="auto"/>
        <w:jc w:val="center"/>
        <w:rPr>
          <w:rFonts w:ascii="Times New Roman" w:hAnsi="Times New Roman"/>
          <w:color w:val="000000"/>
        </w:rPr>
      </w:pPr>
    </w:p>
    <w:p w14:paraId="7F9DBAB3" w14:textId="77777777" w:rsidR="00793525" w:rsidRDefault="00793525">
      <w:pPr>
        <w:pStyle w:val="BodyText"/>
        <w:shd w:val="clear" w:color="auto" w:fill="FFFFFF"/>
        <w:spacing w:after="0" w:line="240" w:lineRule="auto"/>
        <w:jc w:val="center"/>
        <w:rPr>
          <w:rFonts w:ascii="Times New Roman" w:hAnsi="Times New Roman"/>
          <w:color w:val="000000"/>
        </w:rPr>
      </w:pPr>
    </w:p>
    <w:p w14:paraId="61106AD9" w14:textId="47003DD9" w:rsidR="00793525" w:rsidRDefault="00166738">
      <w:pPr>
        <w:pStyle w:val="BodyText"/>
        <w:shd w:val="clear" w:color="auto" w:fill="FFFFFF"/>
        <w:spacing w:after="0" w:line="240" w:lineRule="auto"/>
        <w:jc w:val="center"/>
        <w:rPr>
          <w:rFonts w:ascii="Times New Roman" w:hAnsi="Times New Roman"/>
        </w:rPr>
      </w:pPr>
      <w:r>
        <w:rPr>
          <w:rFonts w:ascii="Times New Roman" w:hAnsi="Times New Roman"/>
          <w:color w:val="000000"/>
        </w:rPr>
        <w:t>June 4th</w:t>
      </w:r>
      <w:r w:rsidR="00000000">
        <w:rPr>
          <w:rFonts w:ascii="Times New Roman" w:hAnsi="Times New Roman"/>
          <w:color w:val="000000"/>
        </w:rPr>
        <w:t xml:space="preserve"> 2026</w:t>
      </w:r>
    </w:p>
    <w:p w14:paraId="4DDFF08E" w14:textId="77777777" w:rsidR="00793525" w:rsidRDefault="00793525">
      <w:pPr>
        <w:pStyle w:val="BodyText"/>
        <w:shd w:val="clear" w:color="auto" w:fill="FFFFFF"/>
        <w:spacing w:after="0" w:line="240" w:lineRule="auto"/>
        <w:jc w:val="center"/>
        <w:rPr>
          <w:rFonts w:ascii="Times New Roman" w:hAnsi="Times New Roman"/>
        </w:rPr>
      </w:pPr>
    </w:p>
    <w:p w14:paraId="231C5CBE" w14:textId="77777777" w:rsidR="00793525" w:rsidRDefault="00793525">
      <w:pPr>
        <w:pStyle w:val="BodyText"/>
        <w:spacing w:line="240" w:lineRule="auto"/>
        <w:rPr>
          <w:rFonts w:ascii="Times New Roman" w:hAnsi="Times New Roman"/>
        </w:rPr>
      </w:pPr>
    </w:p>
    <w:p w14:paraId="121EA0BF" w14:textId="77777777" w:rsidR="00793525" w:rsidRDefault="00793525">
      <w:pPr>
        <w:pStyle w:val="BodyText"/>
        <w:spacing w:line="240" w:lineRule="auto"/>
        <w:rPr>
          <w:rFonts w:ascii="Times New Roman" w:hAnsi="Times New Roman"/>
        </w:rPr>
      </w:pPr>
    </w:p>
    <w:p w14:paraId="3C0969F2" w14:textId="77777777" w:rsidR="00793525" w:rsidRDefault="00793525">
      <w:pPr>
        <w:pStyle w:val="BodyText"/>
        <w:spacing w:line="240" w:lineRule="auto"/>
        <w:rPr>
          <w:rFonts w:ascii="Times New Roman" w:hAnsi="Times New Roman"/>
        </w:rPr>
      </w:pPr>
    </w:p>
    <w:p w14:paraId="50324959" w14:textId="77777777" w:rsidR="00793525" w:rsidRDefault="00793525">
      <w:pPr>
        <w:pStyle w:val="BodyText"/>
        <w:spacing w:line="240" w:lineRule="auto"/>
        <w:rPr>
          <w:rFonts w:ascii="Times New Roman" w:hAnsi="Times New Roman"/>
        </w:rPr>
      </w:pPr>
    </w:p>
    <w:p w14:paraId="3434AC68" w14:textId="77777777" w:rsidR="00793525" w:rsidRDefault="00793525">
      <w:pPr>
        <w:pStyle w:val="BodyText"/>
        <w:spacing w:line="240" w:lineRule="auto"/>
        <w:rPr>
          <w:rFonts w:ascii="Times New Roman" w:hAnsi="Times New Roman"/>
        </w:rPr>
      </w:pPr>
    </w:p>
    <w:p w14:paraId="63C6D9C9" w14:textId="77777777" w:rsidR="00793525" w:rsidRDefault="00793525">
      <w:pPr>
        <w:pStyle w:val="BodyText"/>
        <w:spacing w:line="240" w:lineRule="auto"/>
        <w:rPr>
          <w:rFonts w:ascii="Times New Roman" w:hAnsi="Times New Roman"/>
        </w:rPr>
      </w:pPr>
    </w:p>
    <w:p w14:paraId="6A227DBC" w14:textId="77777777" w:rsidR="00793525" w:rsidRDefault="00793525" w:rsidP="001E7C81">
      <w:pPr>
        <w:pStyle w:val="BodyText"/>
        <w:spacing w:line="240" w:lineRule="auto"/>
        <w:ind w:firstLine="0"/>
        <w:rPr>
          <w:rFonts w:ascii="Times New Roman" w:hAnsi="Times New Roman"/>
        </w:rPr>
      </w:pPr>
    </w:p>
    <w:p w14:paraId="612B2DA8" w14:textId="46223825" w:rsidR="00184AA2" w:rsidRDefault="00184AA2" w:rsidP="00184AA2">
      <w:pPr>
        <w:pStyle w:val="gds-typography"/>
        <w:spacing w:before="0" w:beforeAutospacing="0" w:after="0" w:afterAutospacing="0" w:line="480" w:lineRule="auto"/>
        <w:jc w:val="center"/>
        <w:rPr>
          <w:color w:val="000000"/>
        </w:rPr>
      </w:pPr>
      <w:r>
        <w:rPr>
          <w:rStyle w:val="Strong"/>
          <w:color w:val="000000"/>
        </w:rPr>
        <w:lastRenderedPageBreak/>
        <w:t>Client–Server and Data-Server Architectures</w:t>
      </w:r>
    </w:p>
    <w:p w14:paraId="50836796" w14:textId="6D5B41E7" w:rsidR="00184AA2" w:rsidRDefault="0022394E" w:rsidP="00184AA2">
      <w:pPr>
        <w:pStyle w:val="gds-typography"/>
        <w:spacing w:before="0" w:beforeAutospacing="0" w:after="0" w:afterAutospacing="0" w:line="480" w:lineRule="auto"/>
        <w:ind w:firstLine="709"/>
        <w:rPr>
          <w:color w:val="000000"/>
        </w:rPr>
      </w:pPr>
      <w:r>
        <w:rPr>
          <w:color w:val="000000"/>
        </w:rPr>
        <w:t>D</w:t>
      </w:r>
      <w:r>
        <w:rPr>
          <w:color w:val="000000"/>
        </w:rPr>
        <w:t>evelopments in computing power, networking, and the demands of modern organizations</w:t>
      </w:r>
      <w:r>
        <w:rPr>
          <w:color w:val="000000"/>
        </w:rPr>
        <w:t xml:space="preserve"> have profoundly shaped th</w:t>
      </w:r>
      <w:r w:rsidR="00184AA2">
        <w:rPr>
          <w:color w:val="000000"/>
        </w:rPr>
        <w:t>e evolution of database system architectures</w:t>
      </w:r>
      <w:r>
        <w:rPr>
          <w:color w:val="000000"/>
        </w:rPr>
        <w:t xml:space="preserve">. </w:t>
      </w:r>
      <w:r w:rsidR="00184AA2">
        <w:rPr>
          <w:color w:val="000000"/>
        </w:rPr>
        <w:t xml:space="preserve">Traditionally, client–server systems are structured with the server possessing significantly greater computational resources than individual client machines. This architectural asymmetry ensures that the server efficiently handles intensive database management tasks, while clients are responsible primarily for user interface functions (Silberschatz et al., 2001). However, considering a scenario where client and server machines have </w:t>
      </w:r>
      <w:r>
        <w:rPr>
          <w:color w:val="000000"/>
        </w:rPr>
        <w:t>the same</w:t>
      </w:r>
      <w:r w:rsidR="00184AA2">
        <w:rPr>
          <w:color w:val="000000"/>
        </w:rPr>
        <w:t xml:space="preserve"> computing power, the rationale for building a client–server system warrants critical examination.</w:t>
      </w:r>
    </w:p>
    <w:p w14:paraId="5C29D25D" w14:textId="1FA0FC1C" w:rsidR="00184AA2" w:rsidRDefault="00184AA2" w:rsidP="00184AA2">
      <w:pPr>
        <w:pStyle w:val="gds-typography"/>
        <w:spacing w:before="0" w:beforeAutospacing="0" w:after="0" w:afterAutospacing="0" w:line="480" w:lineRule="auto"/>
        <w:ind w:firstLine="709"/>
        <w:rPr>
          <w:color w:val="000000"/>
        </w:rPr>
      </w:pPr>
      <w:r>
        <w:rPr>
          <w:rStyle w:val="Strong"/>
          <w:color w:val="000000"/>
        </w:rPr>
        <w:t>Client–</w:t>
      </w:r>
      <w:r>
        <w:rPr>
          <w:rStyle w:val="Strong"/>
          <w:color w:val="000000"/>
        </w:rPr>
        <w:t>s</w:t>
      </w:r>
      <w:r>
        <w:rPr>
          <w:rStyle w:val="Strong"/>
          <w:color w:val="000000"/>
        </w:rPr>
        <w:t xml:space="preserve">erver </w:t>
      </w:r>
      <w:r>
        <w:rPr>
          <w:rStyle w:val="Strong"/>
          <w:color w:val="000000"/>
        </w:rPr>
        <w:t>systems with hardware parity</w:t>
      </w:r>
    </w:p>
    <w:p w14:paraId="4B7810B4" w14:textId="57AC7A8E" w:rsidR="00184AA2" w:rsidRDefault="00184AA2" w:rsidP="00184AA2">
      <w:pPr>
        <w:pStyle w:val="gds-typography"/>
        <w:spacing w:before="0" w:beforeAutospacing="0" w:after="0" w:afterAutospacing="0" w:line="480" w:lineRule="auto"/>
        <w:ind w:firstLine="709"/>
        <w:rPr>
          <w:color w:val="000000"/>
        </w:rPr>
      </w:pPr>
      <w:r>
        <w:rPr>
          <w:color w:val="000000"/>
        </w:rPr>
        <w:t>In a typical client–server model, the server system is designed to be more powerful</w:t>
      </w:r>
      <w:r>
        <w:rPr>
          <w:color w:val="000000"/>
        </w:rPr>
        <w:t xml:space="preserve"> by </w:t>
      </w:r>
      <w:r>
        <w:rPr>
          <w:color w:val="000000"/>
        </w:rPr>
        <w:t>boasting faster processors, greater memory, and larger disk capacities</w:t>
      </w:r>
      <w:r>
        <w:rPr>
          <w:color w:val="000000"/>
        </w:rPr>
        <w:t xml:space="preserve"> </w:t>
      </w:r>
      <w:r>
        <w:rPr>
          <w:color w:val="000000"/>
        </w:rPr>
        <w:t xml:space="preserve">than its clients (Silberschatz et al., 2001). </w:t>
      </w:r>
      <w:r w:rsidR="0022394E">
        <w:rPr>
          <w:color w:val="000000"/>
        </w:rPr>
        <w:t xml:space="preserve">It is worth mentioning that </w:t>
      </w:r>
      <w:r>
        <w:rPr>
          <w:color w:val="000000"/>
        </w:rPr>
        <w:t xml:space="preserve">server machines are optimized for concurrency control, transaction management, and complex query processing, while clients provide user interfaces and application logic. If clients and servers were equally powerful, the benefits of centralizing database management </w:t>
      </w:r>
      <w:r>
        <w:rPr>
          <w:color w:val="000000"/>
        </w:rPr>
        <w:t xml:space="preserve">would </w:t>
      </w:r>
      <w:r>
        <w:rPr>
          <w:color w:val="000000"/>
        </w:rPr>
        <w:t>diminish. In such a context, distributing data and processing across equally capable nodes may better utilize available resources and reduce potential bottlenecks on the server side.</w:t>
      </w:r>
    </w:p>
    <w:p w14:paraId="582597D7" w14:textId="77777777" w:rsidR="00184AA2" w:rsidRDefault="00184AA2" w:rsidP="00184AA2">
      <w:pPr>
        <w:pStyle w:val="gds-typography"/>
        <w:spacing w:before="0" w:beforeAutospacing="0" w:after="0" w:afterAutospacing="0" w:line="480" w:lineRule="auto"/>
        <w:ind w:firstLine="709"/>
        <w:rPr>
          <w:color w:val="000000"/>
        </w:rPr>
      </w:pPr>
      <w:r>
        <w:rPr>
          <w:color w:val="000000"/>
        </w:rPr>
        <w:t>Building a client–server system under hardware parity may not yield significant performance advantages. The division of labor that characterizes client–server systems is less meaningful when each machine is equally capable. Instead, a peer-to-peer or data-server architecture may be more appropriate. In data-server architectures, clients can process data-intensive tasks locally, reducing network load and improving responsiveness, especially in environments with computation-intensive tasks (Silberschatz et al., 2001). For example, in scientific research settings where simulations and data analysis require substantial computation, empowering each workstation to process data independently can enhance overall system throughput.</w:t>
      </w:r>
    </w:p>
    <w:p w14:paraId="353EF3C4" w14:textId="73A9A449" w:rsidR="00184AA2" w:rsidRDefault="00184AA2" w:rsidP="00184AA2">
      <w:pPr>
        <w:pStyle w:val="gds-typography"/>
        <w:spacing w:before="0" w:beforeAutospacing="0" w:after="0" w:afterAutospacing="0" w:line="480" w:lineRule="auto"/>
        <w:ind w:firstLine="709"/>
        <w:rPr>
          <w:color w:val="000000"/>
        </w:rPr>
      </w:pPr>
      <w:r>
        <w:rPr>
          <w:rStyle w:val="Strong"/>
          <w:color w:val="000000"/>
        </w:rPr>
        <w:lastRenderedPageBreak/>
        <w:t xml:space="preserve">Best </w:t>
      </w:r>
      <w:r>
        <w:rPr>
          <w:rStyle w:val="Strong"/>
          <w:color w:val="000000"/>
        </w:rPr>
        <w:t>fit for data-server architectures</w:t>
      </w:r>
    </w:p>
    <w:p w14:paraId="4B1A65D1" w14:textId="77777777" w:rsidR="00184AA2" w:rsidRDefault="00184AA2" w:rsidP="00184AA2">
      <w:pPr>
        <w:pStyle w:val="gds-typography"/>
        <w:spacing w:before="0" w:beforeAutospacing="0" w:after="0" w:afterAutospacing="0" w:line="480" w:lineRule="auto"/>
        <w:ind w:firstLine="709"/>
        <w:rPr>
          <w:color w:val="000000"/>
        </w:rPr>
      </w:pPr>
      <w:r>
        <w:rPr>
          <w:color w:val="000000"/>
        </w:rPr>
        <w:t>A scenario where client and server machines have equivalent power is particularly well-suited to a data-server architecture. Data-server systems allow clients to retrieve and manipulate data in large units, such as files or pages, and perform substantial processing locally. This is advantageous in local-area networks where high-speed communication enables efficient data transfer between peers (Silberschatz et al., 2001). For instance, in an engineering firm where each workstation is equipped with high-performance hardware, distributing both computation and storage responsibilities among all machines can improve scalability and fault tolerance. This approach also fosters system resilience, as the failure of a single node does not incapacitate the entire system.</w:t>
      </w:r>
    </w:p>
    <w:p w14:paraId="4EC0E4EE" w14:textId="28FBD07E" w:rsidR="00184AA2" w:rsidRDefault="00184AA2" w:rsidP="00184AA2">
      <w:pPr>
        <w:pStyle w:val="gds-typography"/>
        <w:spacing w:before="0" w:beforeAutospacing="0" w:after="0" w:afterAutospacing="0" w:line="480" w:lineRule="auto"/>
        <w:ind w:firstLine="709"/>
        <w:rPr>
          <w:color w:val="000000"/>
        </w:rPr>
      </w:pPr>
      <w:r>
        <w:rPr>
          <w:rStyle w:val="Strong"/>
          <w:color w:val="000000"/>
        </w:rPr>
        <w:t xml:space="preserve">Cloud </w:t>
      </w:r>
      <w:r>
        <w:rPr>
          <w:rStyle w:val="Strong"/>
          <w:color w:val="000000"/>
        </w:rPr>
        <w:t xml:space="preserve">computing versus traditional </w:t>
      </w:r>
      <w:r w:rsidR="0022394E">
        <w:rPr>
          <w:rStyle w:val="Strong"/>
          <w:color w:val="000000"/>
        </w:rPr>
        <w:t>IT</w:t>
      </w:r>
      <w:r>
        <w:rPr>
          <w:rStyle w:val="Strong"/>
          <w:color w:val="000000"/>
        </w:rPr>
        <w:t xml:space="preserve"> models</w:t>
      </w:r>
    </w:p>
    <w:p w14:paraId="591B6EC7" w14:textId="77777777" w:rsidR="00184AA2" w:rsidRDefault="00184AA2" w:rsidP="00184AA2">
      <w:pPr>
        <w:pStyle w:val="gds-typography"/>
        <w:spacing w:before="0" w:beforeAutospacing="0" w:after="0" w:afterAutospacing="0" w:line="480" w:lineRule="auto"/>
        <w:ind w:firstLine="709"/>
        <w:rPr>
          <w:color w:val="000000"/>
        </w:rPr>
      </w:pPr>
      <w:r>
        <w:rPr>
          <w:color w:val="000000"/>
        </w:rPr>
        <w:t>In recent years, cloud computing has emerged as a transformative approach to IT infrastructure, offering several advantages over traditional models. Traditional IT requires organizations to invest heavily in on-premises hardware, software, and maintenance, often leading to underutilized resources and high operational costs (Golightly et al., 2022). In contrast, cloud computing leverages virtualization and resource pooling to provide scalable, on-demand access to computing resources over the Internet.</w:t>
      </w:r>
    </w:p>
    <w:p w14:paraId="1974D188" w14:textId="1ED1F013" w:rsidR="00184AA2" w:rsidRDefault="00184AA2" w:rsidP="00184AA2">
      <w:pPr>
        <w:pStyle w:val="gds-typography"/>
        <w:spacing w:before="0" w:beforeAutospacing="0" w:after="0" w:afterAutospacing="0" w:line="480" w:lineRule="auto"/>
        <w:ind w:firstLine="709"/>
        <w:rPr>
          <w:color w:val="000000"/>
        </w:rPr>
      </w:pPr>
      <w:r>
        <w:rPr>
          <w:color w:val="000000"/>
        </w:rPr>
        <w:t>One major advantage of cloud computing is scalability. Cloud providers can dynamically allocate resources according to real-time demand, allowing organizations to scale up or down without significant capital investment (Golightly et al., 2022). For example, an e-commerce company can seamlessly handle traffic spikes during holiday sales without purchasing and maintaining surplus hardware year-round.</w:t>
      </w:r>
      <w:r>
        <w:rPr>
          <w:color w:val="000000"/>
        </w:rPr>
        <w:t xml:space="preserve"> </w:t>
      </w:r>
      <w:r>
        <w:rPr>
          <w:color w:val="000000"/>
        </w:rPr>
        <w:t xml:space="preserve">Cloud computing also enhances flexibility and accessibility. </w:t>
      </w:r>
      <w:r>
        <w:rPr>
          <w:color w:val="000000"/>
        </w:rPr>
        <w:t xml:space="preserve">According to </w:t>
      </w:r>
      <w:r>
        <w:rPr>
          <w:color w:val="000000"/>
        </w:rPr>
        <w:t xml:space="preserve">Golightly et al. </w:t>
      </w:r>
      <w:r>
        <w:rPr>
          <w:color w:val="000000"/>
        </w:rPr>
        <w:t>(</w:t>
      </w:r>
      <w:r>
        <w:rPr>
          <w:color w:val="000000"/>
        </w:rPr>
        <w:t>2022)</w:t>
      </w:r>
      <w:r>
        <w:rPr>
          <w:color w:val="000000"/>
        </w:rPr>
        <w:t>, u</w:t>
      </w:r>
      <w:r>
        <w:rPr>
          <w:color w:val="000000"/>
        </w:rPr>
        <w:t>sers can access applications and data from any location with an Internet connection, supporting remote work and global collaboration. Services such as Software-as-a-Service (SaaS), Platform-as-a-Service (PaaS), and Infrastructure-as-a-Service (IaaS) enable organizations to select the level of control and management that best suits their needs</w:t>
      </w:r>
      <w:r>
        <w:rPr>
          <w:color w:val="000000"/>
        </w:rPr>
        <w:t>.</w:t>
      </w:r>
    </w:p>
    <w:p w14:paraId="59B1A839" w14:textId="0DD42826" w:rsidR="00184AA2" w:rsidRDefault="00184AA2" w:rsidP="00184AA2">
      <w:pPr>
        <w:pStyle w:val="gds-typography"/>
        <w:spacing w:before="0" w:beforeAutospacing="0" w:after="0" w:afterAutospacing="0" w:line="480" w:lineRule="auto"/>
        <w:ind w:firstLine="709"/>
        <w:rPr>
          <w:color w:val="000000"/>
        </w:rPr>
      </w:pPr>
      <w:r>
        <w:rPr>
          <w:color w:val="000000"/>
        </w:rPr>
        <w:lastRenderedPageBreak/>
        <w:t>Cost efficiency is another significant benefit. Cloud models shift IT spending from capital expenditures to operational expenses. Golightly et al.</w:t>
      </w:r>
      <w:r>
        <w:rPr>
          <w:color w:val="000000"/>
        </w:rPr>
        <w:t xml:space="preserve"> (</w:t>
      </w:r>
      <w:r>
        <w:rPr>
          <w:color w:val="000000"/>
        </w:rPr>
        <w:t>2022</w:t>
      </w:r>
      <w:r>
        <w:rPr>
          <w:color w:val="000000"/>
        </w:rPr>
        <w:t>) opine that o</w:t>
      </w:r>
      <w:r>
        <w:rPr>
          <w:color w:val="000000"/>
        </w:rPr>
        <w:t>rganizations pay only for the resources they use, reducing waste and lowering the barrier to entry for startups and small businesses</w:t>
      </w:r>
      <w:r>
        <w:rPr>
          <w:color w:val="000000"/>
        </w:rPr>
        <w:t xml:space="preserve">. </w:t>
      </w:r>
      <w:r>
        <w:rPr>
          <w:color w:val="000000"/>
        </w:rPr>
        <w:t xml:space="preserve">Reliability and disaster recovery are further strengths. Golightly et al. </w:t>
      </w:r>
      <w:r>
        <w:rPr>
          <w:color w:val="000000"/>
        </w:rPr>
        <w:t>(</w:t>
      </w:r>
      <w:r>
        <w:rPr>
          <w:color w:val="000000"/>
        </w:rPr>
        <w:t>2022)</w:t>
      </w:r>
      <w:r>
        <w:rPr>
          <w:color w:val="000000"/>
        </w:rPr>
        <w:t xml:space="preserve"> assert that c</w:t>
      </w:r>
      <w:r>
        <w:rPr>
          <w:color w:val="000000"/>
        </w:rPr>
        <w:t>loud providers offer geographically distributed data centers, automated backups, and robust disaster recovery solutions. This ensures high availability and business continuity even in the event of hardware failures or natural disasters</w:t>
      </w:r>
      <w:r>
        <w:rPr>
          <w:color w:val="000000"/>
        </w:rPr>
        <w:t>. Finally</w:t>
      </w:r>
      <w:r>
        <w:rPr>
          <w:color w:val="000000"/>
        </w:rPr>
        <w:t xml:space="preserve">, cloud computing simplifies maintenance. Golightly et al. </w:t>
      </w:r>
      <w:r>
        <w:rPr>
          <w:color w:val="000000"/>
        </w:rPr>
        <w:t>(</w:t>
      </w:r>
      <w:r>
        <w:rPr>
          <w:color w:val="000000"/>
        </w:rPr>
        <w:t>2022)</w:t>
      </w:r>
      <w:r>
        <w:rPr>
          <w:color w:val="000000"/>
        </w:rPr>
        <w:t xml:space="preserve"> postulate that p</w:t>
      </w:r>
      <w:r>
        <w:rPr>
          <w:color w:val="000000"/>
        </w:rPr>
        <w:t>roviders handle hardware updates, security patches, and software upgrades, freeing organizations from the burden of routine system administration and reducing downtime</w:t>
      </w:r>
      <w:r>
        <w:rPr>
          <w:color w:val="000000"/>
        </w:rPr>
        <w:t>.</w:t>
      </w:r>
    </w:p>
    <w:p w14:paraId="0F8F661B" w14:textId="77777777" w:rsidR="00184AA2" w:rsidRDefault="00184AA2" w:rsidP="00184AA2">
      <w:pPr>
        <w:pStyle w:val="gds-typography"/>
        <w:spacing w:before="0" w:beforeAutospacing="0" w:after="0" w:afterAutospacing="0" w:line="480" w:lineRule="auto"/>
        <w:ind w:firstLine="709"/>
        <w:rPr>
          <w:color w:val="000000"/>
        </w:rPr>
      </w:pPr>
      <w:r>
        <w:rPr>
          <w:rStyle w:val="Strong"/>
          <w:color w:val="000000"/>
        </w:rPr>
        <w:t>Conclusion</w:t>
      </w:r>
    </w:p>
    <w:p w14:paraId="0B4CD3A8" w14:textId="2F49652D" w:rsidR="00184AA2" w:rsidRDefault="00184AA2" w:rsidP="00184AA2">
      <w:pPr>
        <w:pStyle w:val="gds-typography"/>
        <w:spacing w:before="0" w:beforeAutospacing="0" w:after="0" w:afterAutospacing="0" w:line="480" w:lineRule="auto"/>
        <w:ind w:firstLine="709"/>
        <w:rPr>
          <w:color w:val="000000"/>
        </w:rPr>
      </w:pPr>
      <w:r>
        <w:rPr>
          <w:color w:val="000000"/>
        </w:rPr>
        <w:t>In summary, when client and server machines have equal computational power, a client–server model may not be the optimal architecture. Instead, data-server or peer-to-peer systems can better exploit hardware parity, improve scalability, and enhance fault tolerance. Meanwhile, cloud computing offers compelling advantages over traditional IT models, including scalability, flexibility, cost efficiency, and reliability. As organizations increasingly adopt cloud solutions, they benefit from resource pooling, rapid elasticity, and reduced administrative overhead</w:t>
      </w:r>
      <w:r>
        <w:rPr>
          <w:color w:val="000000"/>
        </w:rPr>
        <w:t xml:space="preserve"> </w:t>
      </w:r>
      <w:r>
        <w:rPr>
          <w:color w:val="000000"/>
        </w:rPr>
        <w:t>features critical in today’s fast-paced, data-driven environment.</w:t>
      </w:r>
    </w:p>
    <w:p w14:paraId="2AE76F3B" w14:textId="77777777" w:rsidR="00184AA2" w:rsidRDefault="00184AA2" w:rsidP="00184AA2">
      <w:pPr>
        <w:pStyle w:val="gds-typography"/>
        <w:spacing w:before="0" w:beforeAutospacing="0" w:after="0" w:afterAutospacing="0" w:line="480" w:lineRule="auto"/>
        <w:rPr>
          <w:color w:val="000000"/>
        </w:rPr>
      </w:pPr>
    </w:p>
    <w:p w14:paraId="07386AFF" w14:textId="77777777" w:rsidR="00184AA2" w:rsidRDefault="00184AA2" w:rsidP="00184AA2">
      <w:pPr>
        <w:pStyle w:val="gds-typography"/>
        <w:spacing w:before="0" w:beforeAutospacing="0" w:after="0" w:afterAutospacing="0" w:line="480" w:lineRule="auto"/>
        <w:rPr>
          <w:color w:val="000000"/>
        </w:rPr>
      </w:pPr>
    </w:p>
    <w:p w14:paraId="7035E499" w14:textId="77777777" w:rsidR="00184AA2" w:rsidRDefault="00184AA2" w:rsidP="00184AA2">
      <w:pPr>
        <w:pStyle w:val="gds-typography"/>
        <w:spacing w:before="0" w:beforeAutospacing="0" w:after="0" w:afterAutospacing="0" w:line="480" w:lineRule="auto"/>
        <w:rPr>
          <w:color w:val="000000"/>
        </w:rPr>
      </w:pPr>
    </w:p>
    <w:p w14:paraId="47A060AB" w14:textId="77777777" w:rsidR="00184AA2" w:rsidRDefault="00184AA2" w:rsidP="00184AA2">
      <w:pPr>
        <w:pStyle w:val="gds-typography"/>
        <w:spacing w:before="0" w:beforeAutospacing="0" w:after="0" w:afterAutospacing="0" w:line="480" w:lineRule="auto"/>
        <w:rPr>
          <w:color w:val="000000"/>
        </w:rPr>
      </w:pPr>
    </w:p>
    <w:p w14:paraId="6F71C09E" w14:textId="77777777" w:rsidR="00184AA2" w:rsidRDefault="00184AA2" w:rsidP="00184AA2">
      <w:pPr>
        <w:pStyle w:val="gds-typography"/>
        <w:spacing w:before="0" w:beforeAutospacing="0" w:after="0" w:afterAutospacing="0" w:line="480" w:lineRule="auto"/>
        <w:rPr>
          <w:color w:val="000000"/>
        </w:rPr>
      </w:pPr>
    </w:p>
    <w:p w14:paraId="22A7D08B" w14:textId="77777777" w:rsidR="00184AA2" w:rsidRDefault="00184AA2" w:rsidP="00184AA2">
      <w:pPr>
        <w:pStyle w:val="gds-typography"/>
        <w:spacing w:before="0" w:beforeAutospacing="0" w:after="0" w:afterAutospacing="0" w:line="480" w:lineRule="auto"/>
        <w:rPr>
          <w:color w:val="000000"/>
        </w:rPr>
      </w:pPr>
    </w:p>
    <w:p w14:paraId="00D88528" w14:textId="77777777" w:rsidR="00184AA2" w:rsidRDefault="00184AA2" w:rsidP="00184AA2">
      <w:pPr>
        <w:pStyle w:val="gds-typography"/>
        <w:spacing w:before="0" w:beforeAutospacing="0" w:after="0" w:afterAutospacing="0" w:line="480" w:lineRule="auto"/>
        <w:rPr>
          <w:color w:val="000000"/>
        </w:rPr>
      </w:pPr>
    </w:p>
    <w:p w14:paraId="3AB6BD63" w14:textId="77777777" w:rsidR="00184AA2" w:rsidRDefault="00184AA2" w:rsidP="00184AA2">
      <w:pPr>
        <w:pStyle w:val="gds-typography"/>
        <w:spacing w:before="0" w:beforeAutospacing="0" w:after="0" w:afterAutospacing="0" w:line="480" w:lineRule="auto"/>
        <w:rPr>
          <w:color w:val="000000"/>
        </w:rPr>
      </w:pPr>
    </w:p>
    <w:p w14:paraId="1C88C8E6" w14:textId="1F5E9A1D" w:rsidR="00184AA2" w:rsidRDefault="00184AA2" w:rsidP="00184AA2">
      <w:pPr>
        <w:pStyle w:val="gds-typography"/>
        <w:spacing w:before="0" w:beforeAutospacing="0" w:after="0" w:afterAutospacing="0" w:line="480" w:lineRule="auto"/>
        <w:jc w:val="center"/>
        <w:rPr>
          <w:color w:val="000000"/>
        </w:rPr>
      </w:pPr>
      <w:r>
        <w:rPr>
          <w:rStyle w:val="Strong"/>
          <w:color w:val="000000"/>
        </w:rPr>
        <w:lastRenderedPageBreak/>
        <w:t>References</w:t>
      </w:r>
    </w:p>
    <w:p w14:paraId="468FE743" w14:textId="3CE3613F" w:rsidR="00184AA2" w:rsidRDefault="00184AA2" w:rsidP="00184AA2">
      <w:pPr>
        <w:pStyle w:val="gds-typography"/>
        <w:spacing w:before="0" w:beforeAutospacing="0" w:after="0" w:afterAutospacing="0" w:line="480" w:lineRule="auto"/>
        <w:ind w:left="709" w:hanging="709"/>
        <w:rPr>
          <w:color w:val="000000"/>
        </w:rPr>
      </w:pPr>
      <w:r>
        <w:rPr>
          <w:color w:val="000000"/>
        </w:rPr>
        <w:t xml:space="preserve">Golightly, L., Chang, V., Xu, Q. A., Gao, X., &amp; Liu, B. S. (2022). Adoption of cloud computing as </w:t>
      </w:r>
      <w:r>
        <w:rPr>
          <w:color w:val="000000"/>
        </w:rPr>
        <w:t xml:space="preserve">an </w:t>
      </w:r>
      <w:r>
        <w:rPr>
          <w:color w:val="000000"/>
        </w:rPr>
        <w:t>innovation in the organization.</w:t>
      </w:r>
      <w:r>
        <w:rPr>
          <w:rStyle w:val="apple-converted-space"/>
          <w:color w:val="000000"/>
        </w:rPr>
        <w:t> </w:t>
      </w:r>
      <w:r>
        <w:rPr>
          <w:rStyle w:val="Emphasis"/>
          <w:color w:val="000000"/>
        </w:rPr>
        <w:t>International Journal of Engineering Business Management, 14</w:t>
      </w:r>
      <w:r>
        <w:rPr>
          <w:color w:val="000000"/>
        </w:rPr>
        <w:t>(1), 1–17.</w:t>
      </w:r>
      <w:r>
        <w:rPr>
          <w:rStyle w:val="apple-converted-space"/>
          <w:color w:val="000000"/>
        </w:rPr>
        <w:t> </w:t>
      </w:r>
      <w:hyperlink r:id="rId7" w:tgtFrame="_blank" w:history="1">
        <w:r>
          <w:rPr>
            <w:rStyle w:val="Hyperlink"/>
          </w:rPr>
          <w:t>https://doi.org/10.1177/18479790221093992</w:t>
        </w:r>
      </w:hyperlink>
    </w:p>
    <w:p w14:paraId="5DEF3180" w14:textId="77777777" w:rsidR="00184AA2" w:rsidRDefault="00184AA2" w:rsidP="00184AA2">
      <w:pPr>
        <w:pStyle w:val="gds-typography"/>
        <w:spacing w:before="0" w:beforeAutospacing="0" w:after="0" w:afterAutospacing="0" w:line="480" w:lineRule="auto"/>
        <w:ind w:left="709" w:hanging="709"/>
        <w:rPr>
          <w:color w:val="000000"/>
        </w:rPr>
      </w:pPr>
      <w:r>
        <w:rPr>
          <w:color w:val="000000"/>
        </w:rPr>
        <w:t>Silberschatz, A., Korth, H.F., &amp; Sudarshan, S. (2001). Chapter 18 - Database System Architecture. In</w:t>
      </w:r>
      <w:r>
        <w:rPr>
          <w:rStyle w:val="apple-converted-space"/>
          <w:color w:val="000000"/>
        </w:rPr>
        <w:t> </w:t>
      </w:r>
      <w:r>
        <w:rPr>
          <w:rStyle w:val="Emphasis"/>
          <w:color w:val="000000"/>
        </w:rPr>
        <w:t>Database System Concepts</w:t>
      </w:r>
      <w:r>
        <w:rPr>
          <w:rStyle w:val="apple-converted-space"/>
          <w:color w:val="000000"/>
        </w:rPr>
        <w:t> </w:t>
      </w:r>
      <w:r>
        <w:rPr>
          <w:color w:val="000000"/>
        </w:rPr>
        <w:t>(4th ed.). New York, NY: McGraw-Hill.</w:t>
      </w:r>
    </w:p>
    <w:p w14:paraId="2521E31A" w14:textId="77777777" w:rsidR="004012D7" w:rsidRDefault="004012D7" w:rsidP="00184AA2">
      <w:pPr>
        <w:ind w:firstLine="0"/>
        <w:rPr>
          <w:rFonts w:ascii="Times New Roman" w:hAnsi="Times New Roman" w:cs="Times New Roman"/>
          <w:color w:val="000000"/>
        </w:rPr>
      </w:pPr>
    </w:p>
    <w:p w14:paraId="201214B8" w14:textId="77777777" w:rsidR="004012D7" w:rsidRDefault="004012D7" w:rsidP="00184AA2">
      <w:pPr>
        <w:rPr>
          <w:rFonts w:ascii="Times New Roman" w:hAnsi="Times New Roman" w:cs="Times New Roman"/>
          <w:color w:val="000000"/>
        </w:rPr>
      </w:pPr>
    </w:p>
    <w:p w14:paraId="380E58B6" w14:textId="77777777" w:rsidR="00DE25DA" w:rsidRDefault="00DE25DA" w:rsidP="00DE25DA">
      <w:pPr>
        <w:rPr>
          <w:rFonts w:hint="eastAsia"/>
        </w:rPr>
      </w:pPr>
    </w:p>
    <w:p w14:paraId="2D1BC063" w14:textId="77777777" w:rsidR="00DE25DA" w:rsidRDefault="00DE25DA" w:rsidP="00DE25DA">
      <w:pPr>
        <w:rPr>
          <w:rFonts w:hint="eastAsia"/>
        </w:rPr>
      </w:pPr>
    </w:p>
    <w:p w14:paraId="36CC8E5F" w14:textId="77777777" w:rsidR="00DE25DA" w:rsidRDefault="00DE25DA" w:rsidP="00DE25DA">
      <w:pPr>
        <w:rPr>
          <w:rFonts w:hint="eastAsia"/>
        </w:rPr>
      </w:pPr>
    </w:p>
    <w:p w14:paraId="76B80997" w14:textId="77777777" w:rsidR="00DE25DA" w:rsidRDefault="00DE25DA" w:rsidP="00DE25DA">
      <w:pPr>
        <w:rPr>
          <w:rFonts w:hint="eastAsia"/>
        </w:rPr>
      </w:pPr>
    </w:p>
    <w:p w14:paraId="0944CAA7" w14:textId="77777777" w:rsidR="00DE25DA" w:rsidRDefault="00DE25DA" w:rsidP="00DE25DA">
      <w:pPr>
        <w:rPr>
          <w:rFonts w:hint="eastAsia"/>
        </w:rPr>
      </w:pPr>
    </w:p>
    <w:p w14:paraId="590B97A7" w14:textId="77777777" w:rsidR="00DE25DA" w:rsidRDefault="00DE25DA" w:rsidP="00DE25DA">
      <w:pPr>
        <w:rPr>
          <w:rFonts w:hint="eastAsia"/>
        </w:rPr>
      </w:pPr>
    </w:p>
    <w:p w14:paraId="3B82FBB2" w14:textId="77777777" w:rsidR="00DE25DA" w:rsidRDefault="00DE25DA" w:rsidP="00DE25DA">
      <w:pPr>
        <w:rPr>
          <w:rFonts w:hint="eastAsia"/>
        </w:rPr>
      </w:pPr>
    </w:p>
    <w:p w14:paraId="09E777A2" w14:textId="77777777" w:rsidR="00DE25DA" w:rsidRDefault="00DE25DA" w:rsidP="00DE25DA">
      <w:pPr>
        <w:rPr>
          <w:rFonts w:hint="eastAsia"/>
        </w:rPr>
      </w:pPr>
    </w:p>
    <w:p w14:paraId="65F1180F" w14:textId="77777777" w:rsidR="00DE25DA" w:rsidRDefault="00DE25DA" w:rsidP="00DE25DA">
      <w:pPr>
        <w:rPr>
          <w:rFonts w:hint="eastAsia"/>
        </w:rPr>
      </w:pPr>
    </w:p>
    <w:p w14:paraId="2044DEED" w14:textId="77777777" w:rsidR="00DE25DA" w:rsidRDefault="00DE25DA" w:rsidP="00DE25DA">
      <w:pPr>
        <w:rPr>
          <w:rFonts w:hint="eastAsia"/>
        </w:rPr>
      </w:pPr>
    </w:p>
    <w:p w14:paraId="026BD434" w14:textId="77777777" w:rsidR="00DE25DA" w:rsidRDefault="00DE25DA" w:rsidP="00DE25DA">
      <w:pPr>
        <w:rPr>
          <w:rFonts w:hint="eastAsia"/>
        </w:rPr>
      </w:pPr>
    </w:p>
    <w:p w14:paraId="2860197E" w14:textId="77777777" w:rsidR="00DE25DA" w:rsidRDefault="00DE25DA" w:rsidP="00DE25DA">
      <w:pPr>
        <w:rPr>
          <w:rFonts w:hint="eastAsia"/>
        </w:rPr>
      </w:pPr>
    </w:p>
    <w:p w14:paraId="74005AA0" w14:textId="77777777" w:rsidR="00DE25DA" w:rsidRDefault="00DE25DA" w:rsidP="00DE25DA">
      <w:pPr>
        <w:rPr>
          <w:rFonts w:hint="eastAsia"/>
          <w:kern w:val="0"/>
          <w:lang w:eastAsia="en-GB" w:bidi="ar-SA"/>
        </w:rPr>
      </w:pPr>
    </w:p>
    <w:p w14:paraId="3514E1DF" w14:textId="77777777" w:rsidR="00DE25DA" w:rsidRDefault="00DE25DA">
      <w:pPr>
        <w:pStyle w:val="PreformattedText"/>
        <w:rPr>
          <w:rFonts w:ascii="Times New Roman" w:eastAsia="Times New Roman" w:hAnsi="Times New Roman" w:cs="Times New Roman"/>
          <w:kern w:val="0"/>
          <w:lang w:eastAsia="en-GB"/>
        </w:rPr>
      </w:pPr>
    </w:p>
    <w:p w14:paraId="5738FF64" w14:textId="77777777" w:rsidR="00DE25DA" w:rsidRDefault="00DE25DA" w:rsidP="00DE25DA">
      <w:pPr>
        <w:pStyle w:val="PreformattedText"/>
        <w:ind w:firstLine="0"/>
        <w:rPr>
          <w:rFonts w:ascii="Times New Roman" w:eastAsia="Times New Roman" w:hAnsi="Times New Roman" w:cs="Times New Roman"/>
          <w:kern w:val="0"/>
          <w:lang w:eastAsia="en-GB"/>
        </w:rPr>
      </w:pPr>
    </w:p>
    <w:p w14:paraId="2F216163" w14:textId="77777777" w:rsidR="001A553B" w:rsidRDefault="001A553B">
      <w:pPr>
        <w:pStyle w:val="PreformattedText"/>
        <w:rPr>
          <w:rFonts w:ascii="Times New Roman" w:hAnsi="Times New Roman"/>
          <w:sz w:val="24"/>
          <w:szCs w:val="24"/>
        </w:rPr>
      </w:pPr>
    </w:p>
    <w:sectPr w:rsidR="001A553B">
      <w:headerReference w:type="even" r:id="rId8"/>
      <w:headerReference w:type="default" r:id="rId9"/>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D854" w14:textId="77777777" w:rsidR="00AE7F8C" w:rsidRDefault="00AE7F8C" w:rsidP="00166738">
      <w:pPr>
        <w:spacing w:line="240" w:lineRule="auto"/>
        <w:rPr>
          <w:rFonts w:hint="eastAsia"/>
        </w:rPr>
      </w:pPr>
      <w:r>
        <w:separator/>
      </w:r>
    </w:p>
  </w:endnote>
  <w:endnote w:type="continuationSeparator" w:id="0">
    <w:p w14:paraId="49B3700E" w14:textId="77777777" w:rsidR="00AE7F8C" w:rsidRDefault="00AE7F8C" w:rsidP="0016673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OpenSymbol">
    <w:altName w:val="Arial Unicode MS"/>
    <w:panose1 w:val="020B0604020202020204"/>
    <w:charset w:val="01"/>
    <w:family w:val="roman"/>
    <w:pitch w:val="variable"/>
  </w:font>
  <w:font w:name="Liberation Mono">
    <w:altName w:val="Courier New"/>
    <w:panose1 w:val="020B0604020202020204"/>
    <w:charset w:val="01"/>
    <w:family w:val="modern"/>
    <w:pitch w:val="fixed"/>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49E31" w14:textId="77777777" w:rsidR="00AE7F8C" w:rsidRDefault="00AE7F8C" w:rsidP="00166738">
      <w:pPr>
        <w:spacing w:line="240" w:lineRule="auto"/>
        <w:rPr>
          <w:rFonts w:hint="eastAsia"/>
        </w:rPr>
      </w:pPr>
      <w:r>
        <w:separator/>
      </w:r>
    </w:p>
  </w:footnote>
  <w:footnote w:type="continuationSeparator" w:id="0">
    <w:p w14:paraId="332967AE" w14:textId="77777777" w:rsidR="00AE7F8C" w:rsidRDefault="00AE7F8C" w:rsidP="00166738">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hint="eastAsia"/>
      </w:rPr>
      <w:id w:val="1777519052"/>
      <w:docPartObj>
        <w:docPartGallery w:val="Page Numbers (Top of Page)"/>
        <w:docPartUnique/>
      </w:docPartObj>
    </w:sdtPr>
    <w:sdtContent>
      <w:p w14:paraId="7982144F" w14:textId="7E3DF471" w:rsidR="00166738" w:rsidRDefault="00166738" w:rsidP="002140C3">
        <w:pPr>
          <w:pStyle w:val="Header"/>
          <w:framePr w:wrap="none" w:vAnchor="text" w:hAnchor="margin" w:xAlign="right" w:y="1"/>
          <w:rPr>
            <w:rStyle w:val="PageNumber"/>
            <w:rFonts w:hint="eastAsia"/>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Pr>
            <w:rStyle w:val="PageNumber"/>
            <w:rFonts w:hint="eastAsia"/>
          </w:rPr>
          <w:fldChar w:fldCharType="end"/>
        </w:r>
      </w:p>
    </w:sdtContent>
  </w:sdt>
  <w:p w14:paraId="00B34C48" w14:textId="77777777" w:rsidR="00166738" w:rsidRDefault="00166738" w:rsidP="00166738">
    <w:pPr>
      <w:pStyle w:val="Header"/>
      <w:ind w:right="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hint="eastAsia"/>
      </w:rPr>
      <w:id w:val="-461109026"/>
      <w:docPartObj>
        <w:docPartGallery w:val="Page Numbers (Top of Page)"/>
        <w:docPartUnique/>
      </w:docPartObj>
    </w:sdtPr>
    <w:sdtContent>
      <w:p w14:paraId="23E3C59F" w14:textId="3591F774" w:rsidR="00166738" w:rsidRDefault="00166738" w:rsidP="002140C3">
        <w:pPr>
          <w:pStyle w:val="Header"/>
          <w:framePr w:wrap="none" w:vAnchor="text" w:hAnchor="margin" w:xAlign="right" w:y="1"/>
          <w:rPr>
            <w:rStyle w:val="PageNumber"/>
            <w:rFonts w:hint="eastAsia"/>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Pr>
            <w:rStyle w:val="PageNumber"/>
            <w:rFonts w:hint="eastAsia"/>
            <w:noProof/>
          </w:rPr>
          <w:t>1</w:t>
        </w:r>
        <w:r>
          <w:rPr>
            <w:rStyle w:val="PageNumber"/>
            <w:rFonts w:hint="eastAsia"/>
          </w:rPr>
          <w:fldChar w:fldCharType="end"/>
        </w:r>
      </w:p>
    </w:sdtContent>
  </w:sdt>
  <w:p w14:paraId="24D1E8FC" w14:textId="77777777" w:rsidR="00166738" w:rsidRDefault="00166738" w:rsidP="00166738">
    <w:pPr>
      <w:pStyle w:val="Header"/>
      <w:ind w:right="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0B9A"/>
    <w:multiLevelType w:val="multilevel"/>
    <w:tmpl w:val="6F58DE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C16CB3"/>
    <w:multiLevelType w:val="multilevel"/>
    <w:tmpl w:val="959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42F9A"/>
    <w:multiLevelType w:val="multilevel"/>
    <w:tmpl w:val="B5B20CB0"/>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64994815">
    <w:abstractNumId w:val="2"/>
  </w:num>
  <w:num w:numId="2" w16cid:durableId="1687824640">
    <w:abstractNumId w:val="0"/>
  </w:num>
  <w:num w:numId="3" w16cid:durableId="337847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93525"/>
    <w:rsid w:val="00166738"/>
    <w:rsid w:val="00184AA2"/>
    <w:rsid w:val="001978DF"/>
    <w:rsid w:val="001A553B"/>
    <w:rsid w:val="001E7C81"/>
    <w:rsid w:val="0022394E"/>
    <w:rsid w:val="002B2355"/>
    <w:rsid w:val="004012D7"/>
    <w:rsid w:val="004129EB"/>
    <w:rsid w:val="004374FB"/>
    <w:rsid w:val="004B59B6"/>
    <w:rsid w:val="006325A9"/>
    <w:rsid w:val="00681217"/>
    <w:rsid w:val="006A062F"/>
    <w:rsid w:val="006C247B"/>
    <w:rsid w:val="007734D9"/>
    <w:rsid w:val="00793525"/>
    <w:rsid w:val="007C58B9"/>
    <w:rsid w:val="00817937"/>
    <w:rsid w:val="00883838"/>
    <w:rsid w:val="008F726A"/>
    <w:rsid w:val="009C037D"/>
    <w:rsid w:val="00AE7F8C"/>
    <w:rsid w:val="00C0679F"/>
    <w:rsid w:val="00C67E7D"/>
    <w:rsid w:val="00DE25DA"/>
    <w:rsid w:val="00EF55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9AFA"/>
  <w15:docId w15:val="{841CA9E5-5257-6541-9177-189A1BEF9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KE" w:eastAsia="zh-CN" w:bidi="hi-IN"/>
      </w:rPr>
    </w:rPrDefault>
    <w:pPrDefault>
      <w:pPr>
        <w:spacing w:line="48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Songti SC" w:hAnsi="Liberation Serif"/>
      <w:b/>
      <w:bCs/>
      <w:sz w:val="48"/>
      <w:szCs w:val="48"/>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Strong">
    <w:name w:val="Strong"/>
    <w:uiPriority w:val="22"/>
    <w:qFormat/>
    <w:rPr>
      <w:b/>
      <w:bCs/>
    </w:rPr>
  </w:style>
  <w:style w:type="character" w:customStyle="1" w:styleId="Bulletsuser">
    <w:name w:val="Bullets (user)"/>
    <w:qFormat/>
    <w:rPr>
      <w:rFonts w:ascii="OpenSymbol" w:eastAsia="OpenSymbol" w:hAnsi="OpenSymbol" w:cs="OpenSymbol"/>
    </w:rPr>
  </w:style>
  <w:style w:type="character" w:styleId="Emphasis">
    <w:name w:val="Emphasis"/>
    <w:uiPriority w:val="20"/>
    <w:qFormat/>
    <w:rPr>
      <w:i/>
      <w:iCs/>
    </w:rPr>
  </w:style>
  <w:style w:type="character" w:styleId="Hyperlink">
    <w:name w:val="Hyper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link w:val="BodyTextChar"/>
    <w:uiPriority w:val="99"/>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itle">
    <w:name w:val="Title"/>
    <w:basedOn w:val="Normal"/>
    <w:uiPriority w:val="10"/>
    <w:qFormat/>
    <w:pPr>
      <w:spacing w:before="70"/>
      <w:ind w:left="2" w:right="1"/>
      <w:jc w:val="center"/>
    </w:pPr>
    <w:rPr>
      <w:rFonts w:ascii="Times New Roman" w:eastAsia="Times New Roman" w:hAnsi="Times New Roman" w:cs="Times New Roman"/>
      <w:b/>
      <w:bCs/>
      <w:sz w:val="36"/>
      <w:szCs w:val="36"/>
      <w:lang w:val="en-US" w:eastAsia="en-US" w:bidi="ar-SA"/>
    </w:rPr>
  </w:style>
  <w:style w:type="paragraph" w:styleId="ListParagraph">
    <w:name w:val="List Paragraph"/>
    <w:basedOn w:val="Normal"/>
    <w:qFormat/>
    <w:pPr>
      <w:ind w:left="741" w:hanging="145"/>
    </w:pPr>
    <w:rPr>
      <w:rFonts w:ascii="Times New Roman" w:eastAsia="Times New Roman" w:hAnsi="Times New Roman" w:cs="Times New Roman"/>
      <w:lang w:val="en-US" w:eastAsia="en-US" w:bidi="ar-SA"/>
    </w:rPr>
  </w:style>
  <w:style w:type="paragraph" w:customStyle="1" w:styleId="TableParagraph">
    <w:name w:val="Table Paragraph"/>
    <w:basedOn w:val="Normal"/>
    <w:qFormat/>
    <w:pPr>
      <w:spacing w:before="209"/>
      <w:ind w:left="167"/>
    </w:pPr>
    <w:rPr>
      <w:rFonts w:ascii="Times New Roman" w:eastAsia="Times New Roman" w:hAnsi="Times New Roman" w:cs="Times New Roman"/>
      <w:lang w:val="en-US" w:eastAsia="en-US" w:bidi="ar-SA"/>
    </w:rPr>
  </w:style>
  <w:style w:type="paragraph" w:customStyle="1" w:styleId="FrameContentsuser">
    <w:name w:val="Frame Contents (user)"/>
    <w:basedOn w:val="Normal"/>
    <w:qFormat/>
  </w:style>
  <w:style w:type="paragraph" w:customStyle="1" w:styleId="Figure">
    <w:name w:val="Figure"/>
    <w:basedOn w:val="Caption"/>
    <w:qFormat/>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Closing">
    <w:name w:val="Closing"/>
    <w:basedOn w:val="Heading"/>
    <w:next w:val="BodyText"/>
    <w:pPr>
      <w:jc w:val="center"/>
    </w:pPr>
    <w:rPr>
      <w:b/>
      <w:bCs/>
      <w:sz w:val="32"/>
      <w:szCs w:val="32"/>
    </w:rPr>
  </w:style>
  <w:style w:type="paragraph" w:customStyle="1" w:styleId="FrameContents">
    <w:name w:val="Frame Contents"/>
    <w:basedOn w:val="Normal"/>
    <w:qFormat/>
  </w:style>
  <w:style w:type="paragraph" w:styleId="NormalWeb">
    <w:name w:val="Normal (Web)"/>
    <w:basedOn w:val="Normal"/>
    <w:uiPriority w:val="99"/>
    <w:unhideWhenUsed/>
    <w:rsid w:val="001A553B"/>
    <w:pPr>
      <w:spacing w:before="100" w:beforeAutospacing="1" w:after="100" w:afterAutospacing="1"/>
    </w:pPr>
    <w:rPr>
      <w:rFonts w:ascii="Times New Roman" w:eastAsia="Times New Roman" w:hAnsi="Times New Roman" w:cs="Times New Roman"/>
      <w:kern w:val="0"/>
      <w:lang w:eastAsia="en-GB" w:bidi="ar-SA"/>
    </w:rPr>
  </w:style>
  <w:style w:type="character" w:styleId="UnresolvedMention">
    <w:name w:val="Unresolved Mention"/>
    <w:basedOn w:val="DefaultParagraphFont"/>
    <w:uiPriority w:val="99"/>
    <w:semiHidden/>
    <w:unhideWhenUsed/>
    <w:rsid w:val="00C0679F"/>
    <w:rPr>
      <w:color w:val="605E5C"/>
      <w:shd w:val="clear" w:color="auto" w:fill="E1DFDD"/>
    </w:rPr>
  </w:style>
  <w:style w:type="character" w:customStyle="1" w:styleId="BodyTextChar">
    <w:name w:val="Body Text Char"/>
    <w:basedOn w:val="DefaultParagraphFont"/>
    <w:link w:val="BodyText"/>
    <w:uiPriority w:val="99"/>
    <w:rsid w:val="00DE25DA"/>
  </w:style>
  <w:style w:type="paragraph" w:customStyle="1" w:styleId="gds-typography">
    <w:name w:val="gds-typography"/>
    <w:basedOn w:val="Normal"/>
    <w:rsid w:val="00184AA2"/>
    <w:pPr>
      <w:spacing w:before="100" w:beforeAutospacing="1" w:after="100" w:afterAutospacing="1" w:line="240" w:lineRule="auto"/>
      <w:ind w:firstLine="0"/>
    </w:pPr>
    <w:rPr>
      <w:rFonts w:ascii="Times New Roman" w:eastAsia="Times New Roman" w:hAnsi="Times New Roman" w:cs="Times New Roman"/>
      <w:kern w:val="0"/>
      <w:lang w:eastAsia="en-GB" w:bidi="ar-SA"/>
    </w:rPr>
  </w:style>
  <w:style w:type="character" w:customStyle="1" w:styleId="apple-converted-space">
    <w:name w:val="apple-converted-space"/>
    <w:basedOn w:val="DefaultParagraphFont"/>
    <w:rsid w:val="00184AA2"/>
  </w:style>
  <w:style w:type="paragraph" w:styleId="Header">
    <w:name w:val="header"/>
    <w:basedOn w:val="Normal"/>
    <w:link w:val="HeaderChar"/>
    <w:uiPriority w:val="99"/>
    <w:unhideWhenUsed/>
    <w:rsid w:val="00166738"/>
    <w:pPr>
      <w:tabs>
        <w:tab w:val="center" w:pos="4513"/>
        <w:tab w:val="right" w:pos="9026"/>
      </w:tabs>
      <w:spacing w:line="240" w:lineRule="auto"/>
    </w:pPr>
    <w:rPr>
      <w:rFonts w:cs="Mangal"/>
      <w:szCs w:val="21"/>
    </w:rPr>
  </w:style>
  <w:style w:type="character" w:customStyle="1" w:styleId="HeaderChar">
    <w:name w:val="Header Char"/>
    <w:basedOn w:val="DefaultParagraphFont"/>
    <w:link w:val="Header"/>
    <w:uiPriority w:val="99"/>
    <w:rsid w:val="00166738"/>
    <w:rPr>
      <w:rFonts w:cs="Mangal"/>
      <w:szCs w:val="21"/>
    </w:rPr>
  </w:style>
  <w:style w:type="character" w:styleId="PageNumber">
    <w:name w:val="page number"/>
    <w:basedOn w:val="DefaultParagraphFont"/>
    <w:uiPriority w:val="99"/>
    <w:semiHidden/>
    <w:unhideWhenUsed/>
    <w:rsid w:val="00166738"/>
  </w:style>
  <w:style w:type="paragraph" w:styleId="Footer">
    <w:name w:val="footer"/>
    <w:basedOn w:val="Normal"/>
    <w:link w:val="FooterChar"/>
    <w:uiPriority w:val="99"/>
    <w:unhideWhenUsed/>
    <w:rsid w:val="00166738"/>
    <w:pPr>
      <w:tabs>
        <w:tab w:val="center" w:pos="4513"/>
        <w:tab w:val="right" w:pos="9026"/>
      </w:tabs>
      <w:spacing w:line="240" w:lineRule="auto"/>
    </w:pPr>
    <w:rPr>
      <w:rFonts w:cs="Mangal"/>
      <w:szCs w:val="21"/>
    </w:rPr>
  </w:style>
  <w:style w:type="character" w:customStyle="1" w:styleId="FooterChar">
    <w:name w:val="Footer Char"/>
    <w:basedOn w:val="DefaultParagraphFont"/>
    <w:link w:val="Footer"/>
    <w:uiPriority w:val="99"/>
    <w:rsid w:val="00166738"/>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177/184797902210939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1019</Words>
  <Characters>5743</Characters>
  <Application>Microsoft Office Word</Application>
  <DocSecurity>0</DocSecurity>
  <Lines>220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dc:description/>
  <cp:lastModifiedBy>Godfrey Ouma</cp:lastModifiedBy>
  <cp:revision>4</cp:revision>
  <dcterms:created xsi:type="dcterms:W3CDTF">2026-06-03T04:09:00Z</dcterms:created>
  <dcterms:modified xsi:type="dcterms:W3CDTF">2026-06-03T04:30:00Z</dcterms:modified>
  <dc:language>en-KE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78d8432a9316bd1f437be152f37aaa4fd32596aaad61dfa2a5f1f2c30c9f7c79</vt:lpwstr>
  </property>
</Properties>
</file>