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BF72F5" w:rsidRDefault="00BF72F5" w:rsidP="00BF72F5">
      <w:pPr>
        <w:spacing w:after="0" w:line="480" w:lineRule="auto"/>
        <w:jc w:val="center"/>
        <w:rPr>
          <w:rFonts w:ascii="Times New Roman" w:hAnsi="Times New Roman" w:cs="Times New Roman"/>
          <w:lang w:val="en-US"/>
        </w:rPr>
      </w:pPr>
    </w:p>
    <w:p w14:paraId="3257DC61" w14:textId="77777777" w:rsidR="00BF72F5" w:rsidRPr="00BF72F5" w:rsidRDefault="00BF72F5" w:rsidP="00BF72F5">
      <w:pPr>
        <w:spacing w:after="0" w:line="480" w:lineRule="auto"/>
        <w:jc w:val="center"/>
        <w:rPr>
          <w:rFonts w:ascii="Times New Roman" w:hAnsi="Times New Roman" w:cs="Times New Roman"/>
          <w:lang w:val="en-US"/>
        </w:rPr>
      </w:pPr>
    </w:p>
    <w:p w14:paraId="0CEE8603" w14:textId="77777777" w:rsidR="00BF72F5" w:rsidRPr="00BF72F5" w:rsidRDefault="00BF72F5" w:rsidP="00BF72F5">
      <w:pPr>
        <w:spacing w:after="0" w:line="480" w:lineRule="auto"/>
        <w:jc w:val="center"/>
        <w:rPr>
          <w:rFonts w:ascii="Times New Roman" w:hAnsi="Times New Roman" w:cs="Times New Roman"/>
          <w:lang w:val="en-US"/>
        </w:rPr>
      </w:pPr>
    </w:p>
    <w:p w14:paraId="25BAAA02" w14:textId="69B75A68" w:rsidR="001D60CB" w:rsidRPr="00BF72F5" w:rsidRDefault="00BF72F5" w:rsidP="00BF72F5">
      <w:pPr>
        <w:spacing w:after="0" w:line="480" w:lineRule="auto"/>
        <w:jc w:val="center"/>
        <w:rPr>
          <w:rFonts w:ascii="Times New Roman" w:hAnsi="Times New Roman" w:cs="Times New Roman"/>
          <w:lang w:val="en-US"/>
        </w:rPr>
      </w:pPr>
      <w:r w:rsidRPr="00BF72F5">
        <w:rPr>
          <w:rFonts w:ascii="Times New Roman" w:hAnsi="Times New Roman" w:cs="Times New Roman"/>
          <w:lang w:val="en-US"/>
        </w:rPr>
        <w:t xml:space="preserve">Learning Journal Unit </w:t>
      </w:r>
      <w:r w:rsidR="006943EA">
        <w:rPr>
          <w:rFonts w:ascii="Times New Roman" w:hAnsi="Times New Roman" w:cs="Times New Roman"/>
          <w:lang w:val="en-US"/>
        </w:rPr>
        <w:t>3</w:t>
      </w:r>
    </w:p>
    <w:p w14:paraId="0518D35D"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247158F3"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2B6E24AA"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3B81650D"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6E0E6EA6"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Bachelor of Science</w:t>
      </w:r>
    </w:p>
    <w:p w14:paraId="379C22C5"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in</w:t>
      </w:r>
    </w:p>
    <w:p w14:paraId="7BEEB6EE"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Computer Science</w:t>
      </w:r>
    </w:p>
    <w:p w14:paraId="0FECC0B9"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08AA4138"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0694A3D1"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394208CC" w14:textId="6BC43A24" w:rsidR="004C7C1F" w:rsidRPr="00BF72F5" w:rsidRDefault="004C7C1F" w:rsidP="00BF72F5">
      <w:pPr>
        <w:pStyle w:val="NormalWeb"/>
        <w:spacing w:after="0" w:afterAutospacing="0" w:line="480" w:lineRule="auto"/>
        <w:jc w:val="center"/>
      </w:pPr>
      <w:r w:rsidRPr="00BF72F5">
        <w:t>PHIL 1402: Introduction to Philosophy</w:t>
      </w:r>
    </w:p>
    <w:p w14:paraId="0453AA94" w14:textId="5020D79B"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 xml:space="preserve">Term </w:t>
      </w:r>
      <w:r w:rsidR="006943EA">
        <w:rPr>
          <w:rFonts w:ascii="Times New Roman" w:hAnsi="Times New Roman" w:cs="Times New Roman"/>
          <w:color w:val="000000" w:themeColor="text1"/>
          <w:sz w:val="24"/>
          <w:szCs w:val="24"/>
          <w:shd w:val="clear" w:color="auto" w:fill="FFFFFF"/>
        </w:rPr>
        <w:t>4</w:t>
      </w:r>
      <w:r w:rsidRPr="00BF72F5">
        <w:rPr>
          <w:rFonts w:ascii="Times New Roman" w:hAnsi="Times New Roman" w:cs="Times New Roman"/>
          <w:b/>
          <w:bCs/>
          <w:color w:val="000000" w:themeColor="text1"/>
          <w:sz w:val="24"/>
          <w:szCs w:val="24"/>
          <w:shd w:val="clear" w:color="auto" w:fill="FFFFFF"/>
        </w:rPr>
        <w:t xml:space="preserve"> - </w:t>
      </w:r>
      <w:r w:rsidRPr="00BF72F5">
        <w:rPr>
          <w:rFonts w:ascii="Times New Roman" w:hAnsi="Times New Roman" w:cs="Times New Roman"/>
          <w:color w:val="000000" w:themeColor="text1"/>
          <w:sz w:val="24"/>
          <w:szCs w:val="24"/>
          <w:shd w:val="clear" w:color="auto" w:fill="FFFFFF"/>
        </w:rPr>
        <w:t>2025</w:t>
      </w:r>
    </w:p>
    <w:p w14:paraId="18C3B5AD"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University of The People</w:t>
      </w:r>
    </w:p>
    <w:p w14:paraId="271D7362"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1B19237E" w14:textId="53BF7DF2" w:rsidR="00BF72F5" w:rsidRPr="003A6534" w:rsidRDefault="006943EA" w:rsidP="003A6534">
      <w:pPr>
        <w:spacing w:after="0" w:line="480" w:lineRule="auto"/>
        <w:jc w:val="center"/>
        <w:rPr>
          <w:rFonts w:ascii="Times New Roman" w:hAnsi="Times New Roman" w:cs="Times New Roman"/>
        </w:rPr>
      </w:pPr>
      <w:r>
        <w:rPr>
          <w:rFonts w:ascii="Times New Roman" w:hAnsi="Times New Roman" w:cs="Times New Roman"/>
          <w:lang w:val="en-US"/>
        </w:rPr>
        <w:t>May 1</w:t>
      </w:r>
      <w:r w:rsidR="001D60CB" w:rsidRPr="00BF72F5">
        <w:rPr>
          <w:rFonts w:ascii="Times New Roman" w:hAnsi="Times New Roman" w:cs="Times New Roman"/>
        </w:rPr>
        <w:t>, 2024</w:t>
      </w:r>
    </w:p>
    <w:p w14:paraId="3CFC3925" w14:textId="363A2A4F" w:rsidR="004C7C1F" w:rsidRDefault="00BF72F5" w:rsidP="00BF72F5">
      <w:pPr>
        <w:spacing w:after="0" w:line="480" w:lineRule="auto"/>
        <w:jc w:val="center"/>
        <w:rPr>
          <w:rFonts w:ascii="Times New Roman" w:hAnsi="Times New Roman" w:cs="Times New Roman"/>
          <w:b/>
          <w:bCs/>
          <w:lang w:val="en-US"/>
        </w:rPr>
      </w:pPr>
      <w:r w:rsidRPr="00BF72F5">
        <w:rPr>
          <w:rFonts w:ascii="Times New Roman" w:hAnsi="Times New Roman" w:cs="Times New Roman"/>
          <w:b/>
          <w:bCs/>
          <w:lang w:val="en-US"/>
        </w:rPr>
        <w:lastRenderedPageBreak/>
        <w:t xml:space="preserve">Learning Journal Unit </w:t>
      </w:r>
      <w:r w:rsidR="006943EA">
        <w:rPr>
          <w:rFonts w:ascii="Times New Roman" w:hAnsi="Times New Roman" w:cs="Times New Roman"/>
          <w:b/>
          <w:bCs/>
          <w:lang w:val="en-US"/>
        </w:rPr>
        <w:t>3</w:t>
      </w:r>
    </w:p>
    <w:p w14:paraId="224B0141" w14:textId="77777777" w:rsidR="003721BF" w:rsidRPr="000E218B" w:rsidRDefault="001A0165" w:rsidP="000E218B">
      <w:pPr>
        <w:pStyle w:val="NormalWeb"/>
        <w:spacing w:before="0" w:beforeAutospacing="0" w:after="0" w:afterAutospacing="0" w:line="480" w:lineRule="auto"/>
        <w:rPr>
          <w:b/>
          <w:bCs/>
        </w:rPr>
      </w:pPr>
      <w:r w:rsidRPr="000E218B">
        <w:rPr>
          <w:b/>
          <w:bCs/>
        </w:rPr>
        <w:t>What are the key differences between monotheism and polytheism?</w:t>
      </w:r>
    </w:p>
    <w:p w14:paraId="5665C6D8" w14:textId="77777777" w:rsidR="00406722" w:rsidRDefault="001A0165" w:rsidP="000E218B">
      <w:pPr>
        <w:pStyle w:val="NormalWeb"/>
        <w:spacing w:before="0" w:beforeAutospacing="0" w:after="0" w:afterAutospacing="0" w:line="480" w:lineRule="auto"/>
        <w:rPr>
          <w:lang w:val="en-US"/>
        </w:rPr>
      </w:pPr>
      <w:r w:rsidRPr="000E218B">
        <w:t>Monotheism and polytheism present significant differences in their understanding of divinity. Monotheism posits the existence of a single, all-powerful deity, emphasizing unity and singular authority over creation. In contrast, polytheism embraces a multitude of gods, each governing various aspects of life and nature, which reflects a more pluralistic worldview</w:t>
      </w:r>
      <w:r w:rsidR="003721BF" w:rsidRPr="000E218B">
        <w:t xml:space="preserve"> </w:t>
      </w:r>
      <w:r w:rsidR="003721BF" w:rsidRPr="000E218B">
        <w:t>(Gifford Lectures, 2016)</w:t>
      </w:r>
      <w:r w:rsidRPr="000E218B">
        <w:t xml:space="preserve">. From my perspective, </w:t>
      </w:r>
      <w:r w:rsidR="00FD1218" w:rsidRPr="000E218B">
        <w:t>n</w:t>
      </w:r>
      <w:r w:rsidR="00FD1218" w:rsidRPr="000E218B">
        <w:rPr>
          <w:lang w:val="en-US"/>
        </w:rPr>
        <w:t>either monotheism nor polytheism is inherently better; each serves distinct purposes and fulfills unique spiritual needs for individuals and communities. Coming from a Christian background in Kenya, where monotheism is predominant, I have found my perspective broadened while living in Thailand, a predominantly Buddhist society that is often viewed as nontheistic. Buddhism does not typically involve the worship of a creator god</w:t>
      </w:r>
      <w:r w:rsidR="00406722">
        <w:rPr>
          <w:lang w:val="en-US"/>
        </w:rPr>
        <w:t xml:space="preserve">, but rather </w:t>
      </w:r>
      <w:r w:rsidR="00FD1218" w:rsidRPr="000E218B">
        <w:rPr>
          <w:lang w:val="en-US"/>
        </w:rPr>
        <w:t xml:space="preserve">the focus lies on the principles of karma and ethical living. </w:t>
      </w:r>
    </w:p>
    <w:p w14:paraId="0D06F4AB" w14:textId="237D549D" w:rsidR="00BF72F5" w:rsidRPr="000E218B" w:rsidRDefault="00FD1218" w:rsidP="000E218B">
      <w:pPr>
        <w:pStyle w:val="NormalWeb"/>
        <w:spacing w:before="0" w:beforeAutospacing="0" w:after="0" w:afterAutospacing="0" w:line="480" w:lineRule="auto"/>
        <w:rPr>
          <w:lang w:val="en-US"/>
        </w:rPr>
      </w:pPr>
      <w:r w:rsidRPr="000E218B">
        <w:rPr>
          <w:lang w:val="en-US"/>
        </w:rPr>
        <w:t>Th</w:t>
      </w:r>
      <w:r w:rsidR="00406722">
        <w:rPr>
          <w:lang w:val="en-US"/>
        </w:rPr>
        <w:t>e encounter with Buddhists</w:t>
      </w:r>
      <w:r w:rsidRPr="000E218B">
        <w:rPr>
          <w:lang w:val="en-US"/>
        </w:rPr>
        <w:t xml:space="preserve"> has led me to reflect deeply on the </w:t>
      </w:r>
      <w:r w:rsidRPr="000E218B">
        <w:rPr>
          <w:lang w:val="en-US"/>
        </w:rPr>
        <w:t>similari</w:t>
      </w:r>
      <w:r w:rsidRPr="000E218B">
        <w:rPr>
          <w:lang w:val="en-US"/>
        </w:rPr>
        <w:t>ties between monotheism and polytheism, as both systems provide moral and ethical frameworks that guide their followers on how to conduct themselves and interact with others. In Buddhism, the guiding principle is succinctly captured in the idea of karma</w:t>
      </w:r>
      <w:r w:rsidR="00406722">
        <w:rPr>
          <w:lang w:val="en-US"/>
        </w:rPr>
        <w:t xml:space="preserve">, </w:t>
      </w:r>
      <w:r w:rsidRPr="000E218B">
        <w:rPr>
          <w:lang w:val="en-US"/>
        </w:rPr>
        <w:t>“do unto others as you would have them do unto you”</w:t>
      </w:r>
      <w:r w:rsidR="003721BF" w:rsidRPr="000E218B">
        <w:rPr>
          <w:lang w:val="en-US"/>
        </w:rPr>
        <w:t xml:space="preserve"> </w:t>
      </w:r>
      <w:r w:rsidR="003721BF" w:rsidRPr="000E218B">
        <w:t>(Steinwert, 2020)</w:t>
      </w:r>
      <w:r w:rsidR="003721BF" w:rsidRPr="000E218B">
        <w:t>.</w:t>
      </w:r>
      <w:r w:rsidRPr="000E218B">
        <w:rPr>
          <w:lang w:val="en-US"/>
        </w:rPr>
        <w:t xml:space="preserve"> This transactional view </w:t>
      </w:r>
      <w:r w:rsidR="00406722">
        <w:rPr>
          <w:lang w:val="en-US"/>
        </w:rPr>
        <w:t xml:space="preserve">of human actions </w:t>
      </w:r>
      <w:r w:rsidRPr="000E218B">
        <w:rPr>
          <w:lang w:val="en-US"/>
        </w:rPr>
        <w:t>contrasts with monotheistic and polytheistic systems, where followers often perceive their actions as influenced by divine beings or forces that enforce moral codes. While the deterministic worldview of these religions may offer a sense of order and purpose, the Buddhism I</w:t>
      </w:r>
      <w:r w:rsidRPr="000E218B">
        <w:rPr>
          <w:lang w:val="en-US"/>
        </w:rPr>
        <w:t xml:space="preserve"> ha</w:t>
      </w:r>
      <w:r w:rsidRPr="000E218B">
        <w:rPr>
          <w:lang w:val="en-US"/>
        </w:rPr>
        <w:t>ve encountered emphasizes personal responsibility and freedom to shape one's destiny, which resonates with my belief that individuals can create meaning and value in a complex, diverse world.</w:t>
      </w:r>
      <w:r w:rsidR="00406722">
        <w:rPr>
          <w:lang w:val="en-US"/>
        </w:rPr>
        <w:t xml:space="preserve"> In a nutshell, I hold my </w:t>
      </w:r>
      <w:r w:rsidR="00406722">
        <w:rPr>
          <w:lang w:val="en-US"/>
        </w:rPr>
        <w:lastRenderedPageBreak/>
        <w:t>opinion that neither monotheistic nor polytheistic is better, as both restrict humans from “free will.”</w:t>
      </w:r>
    </w:p>
    <w:p w14:paraId="1EE4120E" w14:textId="77777777" w:rsidR="008066BB" w:rsidRPr="000E218B" w:rsidRDefault="008066BB" w:rsidP="000E218B">
      <w:pPr>
        <w:pStyle w:val="NormalWeb"/>
        <w:spacing w:before="0" w:beforeAutospacing="0" w:after="0" w:afterAutospacing="0" w:line="480" w:lineRule="auto"/>
        <w:rPr>
          <w:b/>
          <w:bCs/>
        </w:rPr>
      </w:pPr>
      <w:r w:rsidRPr="000E218B">
        <w:rPr>
          <w:b/>
          <w:bCs/>
        </w:rPr>
        <w:t>Do you think there are good arguments explaining why a purely good God would allow bad things to happen to good people?</w:t>
      </w:r>
    </w:p>
    <w:p w14:paraId="3266F725" w14:textId="4ECBAA09" w:rsidR="008066BB" w:rsidRPr="000E218B" w:rsidRDefault="008066BB" w:rsidP="000E218B">
      <w:pPr>
        <w:pStyle w:val="NormalWeb"/>
        <w:spacing w:before="0" w:beforeAutospacing="0" w:after="0" w:afterAutospacing="0" w:line="480" w:lineRule="auto"/>
        <w:rPr>
          <w:color w:val="000000" w:themeColor="text1"/>
        </w:rPr>
      </w:pPr>
      <w:r w:rsidRPr="000E218B">
        <w:t>My response to those asking the question, “</w:t>
      </w:r>
      <w:r w:rsidRPr="000E218B">
        <w:rPr>
          <w:color w:val="000000" w:themeColor="text1"/>
        </w:rPr>
        <w:t>If God is fully aware of all the evil that occurs, capable of preventing it, and morally compelled to stop it, then why does evil persist?</w:t>
      </w:r>
      <w:r w:rsidRPr="000E218B">
        <w:rPr>
          <w:color w:val="000000" w:themeColor="text1"/>
        </w:rPr>
        <w:t xml:space="preserve">” is to imagine the relevance of a police station when there were no crimes committed. The same thing explains why evil exists: to make God relevant. </w:t>
      </w:r>
      <w:r w:rsidR="007E359A" w:rsidRPr="000E218B">
        <w:rPr>
          <w:color w:val="000000" w:themeColor="text1"/>
        </w:rPr>
        <w:t xml:space="preserve">This is my opinion; let me delve into other scholars’ reasons for the existence of sin. </w:t>
      </w:r>
      <w:r w:rsidR="00D53BB5" w:rsidRPr="000E218B">
        <w:rPr>
          <w:color w:val="000000" w:themeColor="text1"/>
        </w:rPr>
        <w:t>One common argument is the "free will defense," proposed by philosophers like Alvin Plantinga</w:t>
      </w:r>
      <w:r w:rsidR="00D53BB5" w:rsidRPr="000E218B">
        <w:rPr>
          <w:color w:val="000000" w:themeColor="text1"/>
        </w:rPr>
        <w:t xml:space="preserve">, which </w:t>
      </w:r>
      <w:r w:rsidR="00D53BB5" w:rsidRPr="000E218B">
        <w:rPr>
          <w:color w:val="000000" w:themeColor="text1"/>
        </w:rPr>
        <w:t>suggests that much of the evil in the world arises from the choices made by free agents. Human beings, endowed with free will, may choose to act unjustly or harmfully, leading to the suffering of others</w:t>
      </w:r>
      <w:r w:rsidR="00D53BB5" w:rsidRPr="000E218B">
        <w:rPr>
          <w:color w:val="000000" w:themeColor="text1"/>
        </w:rPr>
        <w:t xml:space="preserve"> </w:t>
      </w:r>
      <w:r w:rsidR="00D53BB5" w:rsidRPr="000E218B">
        <w:rPr>
          <w:color w:val="000000" w:themeColor="text1"/>
        </w:rPr>
        <w:t>(Beebe, 2025). Thus, evil becomes a consequence of the gift of free will, which allows for genuine love, compassion, and moral growth qualities that might not exist in a world without such freedom.</w:t>
      </w:r>
      <w:r w:rsidR="00D53BB5" w:rsidRPr="000E218B">
        <w:rPr>
          <w:color w:val="000000" w:themeColor="text1"/>
        </w:rPr>
        <w:t xml:space="preserve"> </w:t>
      </w:r>
      <w:r w:rsidR="00D53BB5" w:rsidRPr="000E218B">
        <w:rPr>
          <w:color w:val="000000" w:themeColor="text1"/>
        </w:rPr>
        <w:t xml:space="preserve">Furthermore, </w:t>
      </w:r>
      <w:r w:rsidR="00D53BB5" w:rsidRPr="000E218B">
        <w:rPr>
          <w:color w:val="000000" w:themeColor="text1"/>
        </w:rPr>
        <w:t xml:space="preserve">there is an argument </w:t>
      </w:r>
      <w:r w:rsidR="00D53BB5" w:rsidRPr="000E218B">
        <w:rPr>
          <w:color w:val="000000" w:themeColor="text1"/>
        </w:rPr>
        <w:t>that the experience of suffering can lead to personal and spiritual growth. Authors like Michael Peterson suggest that the presence of suffering challenges individuals and communities to confront injustice, cultivate empathy, and strive for goodness (Beebe, 2025).</w:t>
      </w:r>
      <w:r w:rsidR="00D53BB5" w:rsidRPr="000E218B">
        <w:rPr>
          <w:color w:val="000000" w:themeColor="text1"/>
        </w:rPr>
        <w:t xml:space="preserve"> In summary, a purely good God would allow bad things to happen to good people as a way of gaining relevance. In addition, evil is a consequence of “Free will</w:t>
      </w:r>
      <w:r w:rsidR="00EB6E39" w:rsidRPr="000E218B">
        <w:rPr>
          <w:color w:val="000000" w:themeColor="text1"/>
        </w:rPr>
        <w:t>,</w:t>
      </w:r>
      <w:r w:rsidR="00D53BB5" w:rsidRPr="000E218B">
        <w:rPr>
          <w:color w:val="000000" w:themeColor="text1"/>
        </w:rPr>
        <w:t xml:space="preserve">" which is beyond God’s control. </w:t>
      </w:r>
      <w:r w:rsidR="00EB6E39" w:rsidRPr="000E218B">
        <w:rPr>
          <w:color w:val="000000" w:themeColor="text1"/>
        </w:rPr>
        <w:t>Finally, sin</w:t>
      </w:r>
      <w:r w:rsidR="00D53BB5" w:rsidRPr="000E218B">
        <w:rPr>
          <w:color w:val="000000" w:themeColor="text1"/>
        </w:rPr>
        <w:t xml:space="preserve"> serves as a tool to strengthen personal and spiritual growth. </w:t>
      </w:r>
    </w:p>
    <w:p w14:paraId="0E811623" w14:textId="7A0B6617" w:rsidR="00234C42" w:rsidRPr="000E218B" w:rsidRDefault="00234C42" w:rsidP="000E218B">
      <w:pPr>
        <w:pStyle w:val="NormalWeb"/>
        <w:spacing w:before="0" w:beforeAutospacing="0" w:after="0" w:afterAutospacing="0" w:line="480" w:lineRule="auto"/>
        <w:rPr>
          <w:b/>
          <w:bCs/>
        </w:rPr>
      </w:pPr>
      <w:r w:rsidRPr="000E218B">
        <w:rPr>
          <w:b/>
          <w:bCs/>
        </w:rPr>
        <w:t xml:space="preserve">Although a humanist, Paine believed in God and the afterlife. Explain his reasoning and offer your own.  Support your own reasoning with your personal example. </w:t>
      </w:r>
    </w:p>
    <w:p w14:paraId="35A53E03" w14:textId="072EB311" w:rsidR="000E218B" w:rsidRDefault="000E218B" w:rsidP="000E218B">
      <w:pPr>
        <w:pStyle w:val="NormalWeb"/>
        <w:spacing w:before="0" w:beforeAutospacing="0" w:after="0" w:afterAutospacing="0" w:line="480" w:lineRule="auto"/>
      </w:pPr>
      <w:r w:rsidRPr="000E218B">
        <w:lastRenderedPageBreak/>
        <w:t>Although Thomas Paine identified as a humanist, he maintained a belief in God and the afterlife, arguing that this belief was essential for ethical living. Humanism, grounded in reason and human values, seeks to promote ethical behavior based on human experience rather than religious doctrine. Paine’s assertion that “</w:t>
      </w:r>
      <w:r w:rsidRPr="000E218B">
        <w:t>A</w:t>
      </w:r>
      <w:r w:rsidRPr="000E218B">
        <w:t xml:space="preserve">theism was a negative thing, a dangerous abandonment of ethical norms that would lead to chaos and cruelty” (Humanists, 2023) underscores his view that a belief in God is crucial for fostering moral responsibility. This perspective resonates with my own experiences, as I have encountered individuals who transformed their lives after finding faith. Many believers today, when </w:t>
      </w:r>
      <w:r w:rsidRPr="000E218B">
        <w:t xml:space="preserve">asked </w:t>
      </w:r>
      <w:r w:rsidRPr="000E218B">
        <w:t xml:space="preserve">to </w:t>
      </w:r>
      <w:r w:rsidRPr="000E218B">
        <w:t>confess</w:t>
      </w:r>
      <w:r w:rsidRPr="000E218B">
        <w:t xml:space="preserve"> their lives </w:t>
      </w:r>
      <w:r w:rsidRPr="000E218B">
        <w:t>before</w:t>
      </w:r>
      <w:r w:rsidRPr="000E218B">
        <w:t xml:space="preserve"> salvation, recount the adverse actions they engaged in before adhering to divine principles. For example, a close friend of mine struggled with substance abuse and credits his recovery to a newfound religious conviction. His reflections often highlight how his lack of ethical guidance led to destructive behaviors, but faith has since provided him with a strong moral compass. Consequently, while humanism emphasizes reason and ethical responsibility, the interplay of belief in a higher power can further enrich one’s journey toward personal and collective morality.</w:t>
      </w:r>
    </w:p>
    <w:p w14:paraId="3E8406CE" w14:textId="77777777" w:rsidR="000E218B" w:rsidRDefault="000E218B" w:rsidP="000E218B">
      <w:pPr>
        <w:pStyle w:val="NormalWeb"/>
        <w:spacing w:before="0" w:beforeAutospacing="0" w:after="0" w:afterAutospacing="0" w:line="480" w:lineRule="auto"/>
      </w:pPr>
    </w:p>
    <w:p w14:paraId="7C644F90" w14:textId="77777777" w:rsidR="000E218B" w:rsidRDefault="000E218B" w:rsidP="000E218B">
      <w:pPr>
        <w:pStyle w:val="NormalWeb"/>
        <w:spacing w:before="0" w:beforeAutospacing="0" w:after="0" w:afterAutospacing="0" w:line="480" w:lineRule="auto"/>
      </w:pPr>
    </w:p>
    <w:p w14:paraId="434FFE2E" w14:textId="77777777" w:rsidR="000E218B" w:rsidRDefault="000E218B" w:rsidP="000E218B">
      <w:pPr>
        <w:pStyle w:val="NormalWeb"/>
        <w:spacing w:before="0" w:beforeAutospacing="0" w:after="0" w:afterAutospacing="0" w:line="480" w:lineRule="auto"/>
      </w:pPr>
    </w:p>
    <w:p w14:paraId="491B8F4D" w14:textId="77777777" w:rsidR="000E218B" w:rsidRDefault="000E218B" w:rsidP="000E218B">
      <w:pPr>
        <w:pStyle w:val="NormalWeb"/>
        <w:spacing w:before="0" w:beforeAutospacing="0" w:after="0" w:afterAutospacing="0" w:line="480" w:lineRule="auto"/>
      </w:pPr>
    </w:p>
    <w:p w14:paraId="01C7FD0D" w14:textId="77777777" w:rsidR="000E218B" w:rsidRDefault="000E218B" w:rsidP="000E218B">
      <w:pPr>
        <w:pStyle w:val="NormalWeb"/>
        <w:spacing w:before="0" w:beforeAutospacing="0" w:after="0" w:afterAutospacing="0" w:line="480" w:lineRule="auto"/>
      </w:pPr>
    </w:p>
    <w:p w14:paraId="67EE0AD3" w14:textId="77777777" w:rsidR="000E218B" w:rsidRDefault="000E218B" w:rsidP="000E218B">
      <w:pPr>
        <w:pStyle w:val="NormalWeb"/>
        <w:spacing w:before="0" w:beforeAutospacing="0" w:after="0" w:afterAutospacing="0" w:line="480" w:lineRule="auto"/>
      </w:pPr>
    </w:p>
    <w:p w14:paraId="645BC30B" w14:textId="77777777" w:rsidR="000E218B" w:rsidRDefault="000E218B" w:rsidP="000E218B">
      <w:pPr>
        <w:pStyle w:val="NormalWeb"/>
        <w:spacing w:before="0" w:beforeAutospacing="0" w:after="0" w:afterAutospacing="0" w:line="480" w:lineRule="auto"/>
      </w:pPr>
    </w:p>
    <w:p w14:paraId="20AF8600" w14:textId="77777777" w:rsidR="000E218B" w:rsidRPr="000E218B" w:rsidRDefault="000E218B" w:rsidP="000E218B">
      <w:pPr>
        <w:pStyle w:val="NormalWeb"/>
        <w:spacing w:before="0" w:beforeAutospacing="0" w:after="0" w:afterAutospacing="0" w:line="480" w:lineRule="auto"/>
      </w:pPr>
    </w:p>
    <w:p w14:paraId="5F66F75F" w14:textId="1ADAEB7C" w:rsidR="001022CD" w:rsidRPr="001022CD" w:rsidRDefault="000E218B" w:rsidP="001022CD">
      <w:pPr>
        <w:pStyle w:val="NormalWeb"/>
        <w:spacing w:before="0" w:beforeAutospacing="0" w:after="0" w:afterAutospacing="0" w:line="480" w:lineRule="auto"/>
        <w:jc w:val="center"/>
        <w:rPr>
          <w:b/>
          <w:bCs/>
        </w:rPr>
      </w:pPr>
      <w:r w:rsidRPr="000E218B">
        <w:rPr>
          <w:b/>
          <w:bCs/>
        </w:rPr>
        <w:lastRenderedPageBreak/>
        <w:t>References</w:t>
      </w:r>
    </w:p>
    <w:p w14:paraId="0C2CE091" w14:textId="326DD437" w:rsidR="001022CD" w:rsidRPr="000E218B" w:rsidRDefault="001022CD" w:rsidP="000E218B">
      <w:pPr>
        <w:pStyle w:val="NormalWeb"/>
        <w:spacing w:before="0" w:beforeAutospacing="0" w:after="0" w:afterAutospacing="0" w:line="480" w:lineRule="auto"/>
        <w:rPr>
          <w:color w:val="000000" w:themeColor="text1"/>
        </w:rPr>
      </w:pPr>
      <w:r w:rsidRPr="000E218B">
        <w:rPr>
          <w:color w:val="000000" w:themeColor="text1"/>
        </w:rPr>
        <w:t xml:space="preserve">Beebe, J. R. (2025). </w:t>
      </w:r>
      <w:r w:rsidRPr="006245FD">
        <w:rPr>
          <w:i/>
          <w:iCs/>
          <w:color w:val="000000" w:themeColor="text1"/>
        </w:rPr>
        <w:t>Logical problem of evil. Inte</w:t>
      </w:r>
      <w:r w:rsidR="00BB2812" w:rsidRPr="006245FD">
        <w:rPr>
          <w:i/>
          <w:iCs/>
          <w:color w:val="000000" w:themeColor="text1"/>
        </w:rPr>
        <w:t>rnet encyclopedia of philosophy</w:t>
      </w:r>
      <w:r w:rsidR="00BB2812" w:rsidRPr="000E218B">
        <w:rPr>
          <w:color w:val="000000" w:themeColor="text1"/>
        </w:rPr>
        <w:t xml:space="preserve"> </w:t>
      </w:r>
      <w:r w:rsidRPr="000E218B">
        <w:rPr>
          <w:color w:val="000000" w:themeColor="text1"/>
        </w:rPr>
        <w:t xml:space="preserve">| An encyclopedia of philosophy articles written by professional philosophers. </w:t>
      </w:r>
      <w:hyperlink r:id="rId7" w:history="1">
        <w:r w:rsidRPr="000E218B">
          <w:rPr>
            <w:rStyle w:val="Hyperlink"/>
            <w:rFonts w:eastAsiaTheme="majorEastAsia"/>
            <w:color w:val="000000" w:themeColor="text1"/>
          </w:rPr>
          <w:t>https://iep.utm.edu/evil-log/</w:t>
        </w:r>
      </w:hyperlink>
    </w:p>
    <w:p w14:paraId="30AFC11E" w14:textId="22F13715" w:rsidR="001022CD" w:rsidRPr="000E218B" w:rsidRDefault="001022CD" w:rsidP="000E218B">
      <w:pPr>
        <w:pStyle w:val="NormalWeb"/>
        <w:spacing w:before="0" w:beforeAutospacing="0" w:after="0" w:afterAutospacing="0" w:line="480" w:lineRule="auto"/>
      </w:pPr>
      <w:r w:rsidRPr="000E218B">
        <w:t xml:space="preserve">Gifford Lectures. (2016, September 26). </w:t>
      </w:r>
      <w:r w:rsidRPr="006245FD">
        <w:rPr>
          <w:i/>
          <w:iCs/>
        </w:rPr>
        <w:t xml:space="preserve">III: Polytheism and monotheism. </w:t>
      </w:r>
      <w:r w:rsidRPr="000E218B">
        <w:t xml:space="preserve">The Gifford Lectures. </w:t>
      </w:r>
      <w:hyperlink r:id="rId8" w:history="1">
        <w:r w:rsidRPr="000E218B">
          <w:rPr>
            <w:rStyle w:val="Hyperlink"/>
            <w:rFonts w:eastAsiaTheme="majorEastAsia"/>
          </w:rPr>
          <w:t>https://web.archive.org/web/20220216135909/https://www.giffordlectures.org/books/attributes-god/iii-polytheism-and-monotheism</w:t>
        </w:r>
      </w:hyperlink>
    </w:p>
    <w:p w14:paraId="61905657" w14:textId="77777777" w:rsidR="001022CD" w:rsidRPr="000E218B" w:rsidRDefault="001022CD" w:rsidP="000E218B">
      <w:pPr>
        <w:pStyle w:val="NormalWeb"/>
        <w:spacing w:before="0" w:beforeAutospacing="0" w:after="0" w:afterAutospacing="0" w:line="480" w:lineRule="auto"/>
      </w:pPr>
      <w:r w:rsidRPr="000E218B">
        <w:t xml:space="preserve">Humanists UK. (2023). </w:t>
      </w:r>
      <w:r w:rsidRPr="006245FD">
        <w:rPr>
          <w:i/>
          <w:iCs/>
        </w:rPr>
        <w:t>Humanist heritage: No great magic? The afterlife of Thomas Paine.</w:t>
      </w:r>
      <w:r w:rsidRPr="000E218B">
        <w:t xml:space="preserve"> Humanist Heritage. </w:t>
      </w:r>
      <w:hyperlink r:id="rId9" w:history="1">
        <w:r w:rsidRPr="000E218B">
          <w:rPr>
            <w:rStyle w:val="Hyperlink"/>
            <w:rFonts w:eastAsiaTheme="majorEastAsia"/>
          </w:rPr>
          <w:t>https://heritage.humanists.uk/article/no-great-magic/</w:t>
        </w:r>
      </w:hyperlink>
    </w:p>
    <w:p w14:paraId="794D3B84" w14:textId="224BE4EA" w:rsidR="001022CD" w:rsidRPr="000E218B" w:rsidRDefault="001022CD" w:rsidP="000E218B">
      <w:pPr>
        <w:pStyle w:val="NormalWeb"/>
        <w:spacing w:before="0" w:beforeAutospacing="0" w:after="0" w:afterAutospacing="0" w:line="480" w:lineRule="auto"/>
      </w:pPr>
      <w:r w:rsidRPr="000E218B">
        <w:t xml:space="preserve">Steinwert, T. L. (2020, October 5). </w:t>
      </w:r>
      <w:r w:rsidRPr="006245FD">
        <w:rPr>
          <w:i/>
          <w:iCs/>
        </w:rPr>
        <w:t>Karma. Offic</w:t>
      </w:r>
      <w:r w:rsidR="006245FD" w:rsidRPr="006245FD">
        <w:rPr>
          <w:i/>
          <w:iCs/>
        </w:rPr>
        <w:t xml:space="preserve">e for religious &amp; spiritual life. </w:t>
      </w:r>
      <w:hyperlink r:id="rId10" w:anchor=":~:text=Karma%20is%20a%20complex%20concept%20arising%20from,usually%20in%20cycles%20of%20death%20and%20rebirth" w:history="1">
        <w:r w:rsidRPr="000E218B">
          <w:rPr>
            <w:rStyle w:val="Hyperlink"/>
            <w:rFonts w:eastAsiaTheme="majorEastAsia"/>
          </w:rPr>
          <w:t>https://orsl.stanford.edu/news/karma#:~:text=Karma%20is%20a%20complex%20concept%20arising%20from,usually%20in%20cycles%20of%20death%20and%20rebirth</w:t>
        </w:r>
      </w:hyperlink>
    </w:p>
    <w:sectPr w:rsidR="001022CD" w:rsidRPr="000E218B">
      <w:headerReference w:type="even" r:id="rId11"/>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3C2AD" w14:textId="77777777" w:rsidR="004C6A78" w:rsidRDefault="004C6A78" w:rsidP="00F653AB">
      <w:pPr>
        <w:spacing w:after="0" w:line="240" w:lineRule="auto"/>
      </w:pPr>
      <w:r>
        <w:separator/>
      </w:r>
    </w:p>
  </w:endnote>
  <w:endnote w:type="continuationSeparator" w:id="0">
    <w:p w14:paraId="5E950F27" w14:textId="77777777" w:rsidR="004C6A78" w:rsidRDefault="004C6A78" w:rsidP="00F65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F2170" w14:textId="77777777" w:rsidR="004C6A78" w:rsidRDefault="004C6A78" w:rsidP="00F653AB">
      <w:pPr>
        <w:spacing w:after="0" w:line="240" w:lineRule="auto"/>
      </w:pPr>
      <w:r>
        <w:separator/>
      </w:r>
    </w:p>
  </w:footnote>
  <w:footnote w:type="continuationSeparator" w:id="0">
    <w:p w14:paraId="00760499" w14:textId="77777777" w:rsidR="004C6A78" w:rsidRDefault="004C6A78" w:rsidP="00F65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8943867">
    <w:abstractNumId w:val="4"/>
  </w:num>
  <w:num w:numId="2" w16cid:durableId="1063989085">
    <w:abstractNumId w:val="6"/>
  </w:num>
  <w:num w:numId="3" w16cid:durableId="1127045952">
    <w:abstractNumId w:val="5"/>
  </w:num>
  <w:num w:numId="4" w16cid:durableId="1687251355">
    <w:abstractNumId w:val="3"/>
  </w:num>
  <w:num w:numId="5" w16cid:durableId="1555502318">
    <w:abstractNumId w:val="7"/>
  </w:num>
  <w:num w:numId="6" w16cid:durableId="196821722">
    <w:abstractNumId w:val="2"/>
  </w:num>
  <w:num w:numId="7" w16cid:durableId="60569682">
    <w:abstractNumId w:val="9"/>
  </w:num>
  <w:num w:numId="8" w16cid:durableId="422338041">
    <w:abstractNumId w:val="11"/>
  </w:num>
  <w:num w:numId="9" w16cid:durableId="694162140">
    <w:abstractNumId w:val="8"/>
  </w:num>
  <w:num w:numId="10" w16cid:durableId="1619214663">
    <w:abstractNumId w:val="10"/>
  </w:num>
  <w:num w:numId="11" w16cid:durableId="1144195262">
    <w:abstractNumId w:val="1"/>
  </w:num>
  <w:num w:numId="12" w16cid:durableId="176286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75ACD"/>
    <w:rsid w:val="000846DF"/>
    <w:rsid w:val="000E218B"/>
    <w:rsid w:val="001022CD"/>
    <w:rsid w:val="001604F5"/>
    <w:rsid w:val="001A0165"/>
    <w:rsid w:val="001D60CB"/>
    <w:rsid w:val="00234C42"/>
    <w:rsid w:val="002A7D89"/>
    <w:rsid w:val="003721BF"/>
    <w:rsid w:val="003A6534"/>
    <w:rsid w:val="003C0BBE"/>
    <w:rsid w:val="00406722"/>
    <w:rsid w:val="00475DF7"/>
    <w:rsid w:val="004C40A9"/>
    <w:rsid w:val="004C6A78"/>
    <w:rsid w:val="004C7C1F"/>
    <w:rsid w:val="004F5B86"/>
    <w:rsid w:val="006245FD"/>
    <w:rsid w:val="00680B27"/>
    <w:rsid w:val="006943EA"/>
    <w:rsid w:val="006B7ED7"/>
    <w:rsid w:val="00764BDC"/>
    <w:rsid w:val="007B70D9"/>
    <w:rsid w:val="007E359A"/>
    <w:rsid w:val="007F09CC"/>
    <w:rsid w:val="008066BB"/>
    <w:rsid w:val="008A200E"/>
    <w:rsid w:val="008D6A60"/>
    <w:rsid w:val="00A23ACA"/>
    <w:rsid w:val="00A40214"/>
    <w:rsid w:val="00A82E53"/>
    <w:rsid w:val="00AA78A9"/>
    <w:rsid w:val="00AD18C9"/>
    <w:rsid w:val="00AE1F61"/>
    <w:rsid w:val="00AE69F8"/>
    <w:rsid w:val="00B02A57"/>
    <w:rsid w:val="00B35707"/>
    <w:rsid w:val="00BB2812"/>
    <w:rsid w:val="00BF72F5"/>
    <w:rsid w:val="00D53BB5"/>
    <w:rsid w:val="00D867BD"/>
    <w:rsid w:val="00DE3C1D"/>
    <w:rsid w:val="00E01980"/>
    <w:rsid w:val="00EB6E39"/>
    <w:rsid w:val="00F33C92"/>
    <w:rsid w:val="00F653AB"/>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0CB"/>
  </w:style>
  <w:style w:type="paragraph" w:styleId="Heading1">
    <w:name w:val="heading 1"/>
    <w:basedOn w:val="Normal"/>
    <w:next w:val="Normal"/>
    <w:link w:val="Heading1Char"/>
    <w:uiPriority w:val="9"/>
    <w:qFormat/>
    <w:rsid w:val="001D6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jc w:val="center"/>
    </w:pPr>
    <w:rPr>
      <w:i/>
      <w:iCs/>
      <w:color w:val="404040" w:themeColor="text1" w:themeTint="BF"/>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ind w:left="720"/>
      <w:contextualSpacing/>
    </w:p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20216135909/https:/www.giffordlectures.org/books/attributes-god/iii-polytheism-and-monotheis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ep.utm.edu/evil-log/"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orsl.stanford.edu/news/karma" TargetMode="External"/><Relationship Id="rId4" Type="http://schemas.openxmlformats.org/officeDocument/2006/relationships/webSettings" Target="webSettings.xml"/><Relationship Id="rId9" Type="http://schemas.openxmlformats.org/officeDocument/2006/relationships/hyperlink" Target="https://heritage.humanists.uk/article/no-great-magi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5</Pages>
  <Words>999</Words>
  <Characters>5699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11</cp:revision>
  <dcterms:created xsi:type="dcterms:W3CDTF">2025-05-01T22:18:00Z</dcterms:created>
  <dcterms:modified xsi:type="dcterms:W3CDTF">2025-05-02T00:45:00Z</dcterms:modified>
</cp:coreProperties>
</file>