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062D" w14:textId="235B66F4" w:rsidR="00553BAD" w:rsidRPr="00A57515" w:rsidRDefault="00553BAD" w:rsidP="00A57515">
      <w:pPr>
        <w:spacing w:after="0" w:line="480" w:lineRule="auto"/>
        <w:jc w:val="center"/>
        <w:rPr>
          <w:rFonts w:ascii="Times New Roman" w:hAnsi="Times New Roman" w:cs="Times New Roman"/>
          <w:b/>
          <w:bCs/>
          <w:lang w:val="en-US"/>
        </w:rPr>
      </w:pPr>
      <w:r w:rsidRPr="00A57515">
        <w:rPr>
          <w:rFonts w:ascii="Times New Roman" w:hAnsi="Times New Roman" w:cs="Times New Roman"/>
          <w:b/>
          <w:bCs/>
          <w:lang w:val="en-US"/>
        </w:rPr>
        <w:t>Discussion Assignment Unit 4</w:t>
      </w:r>
    </w:p>
    <w:p w14:paraId="0BC8802D" w14:textId="719C3AE1" w:rsidR="00B315BE" w:rsidRPr="00A57515" w:rsidRDefault="00B315BE" w:rsidP="00A57515">
      <w:pPr>
        <w:pStyle w:val="NormalWeb"/>
        <w:spacing w:before="0" w:beforeAutospacing="0" w:after="0" w:afterAutospacing="0" w:line="480" w:lineRule="auto"/>
        <w:rPr>
          <w:b/>
          <w:bCs/>
        </w:rPr>
      </w:pPr>
      <w:r w:rsidRPr="00A57515">
        <w:rPr>
          <w:b/>
          <w:bCs/>
        </w:rPr>
        <w:t xml:space="preserve">Question 1: </w:t>
      </w:r>
      <w:r w:rsidR="00625A21" w:rsidRPr="00A57515">
        <w:rPr>
          <w:b/>
          <w:bCs/>
        </w:rPr>
        <w:t>Contrast Plato with Aristotle and decide whom you agree with more (and why)</w:t>
      </w:r>
      <w:r w:rsidRPr="00A57515">
        <w:rPr>
          <w:b/>
          <w:bCs/>
        </w:rPr>
        <w:t>.</w:t>
      </w:r>
    </w:p>
    <w:p w14:paraId="6923EE20" w14:textId="32BA67D1" w:rsidR="00B315BE" w:rsidRPr="00A57515" w:rsidRDefault="00B315BE" w:rsidP="00A57515">
      <w:pPr>
        <w:pStyle w:val="NormalWeb"/>
        <w:spacing w:before="0" w:beforeAutospacing="0" w:after="0" w:afterAutospacing="0" w:line="480" w:lineRule="auto"/>
      </w:pPr>
      <w:r w:rsidRPr="00A57515">
        <w:t xml:space="preserve">I want to address this question, </w:t>
      </w:r>
      <w:r w:rsidRPr="00A57515">
        <w:rPr>
          <w:b/>
          <w:bCs/>
        </w:rPr>
        <w:t>“</w:t>
      </w:r>
      <w:r w:rsidRPr="00A57515">
        <w:rPr>
          <w:b/>
          <w:bCs/>
        </w:rPr>
        <w:t>G</w:t>
      </w:r>
      <w:r w:rsidRPr="00A57515">
        <w:rPr>
          <w:b/>
          <w:bCs/>
        </w:rPr>
        <w:t>ood citizen or philosopher ruler</w:t>
      </w:r>
      <w:r w:rsidRPr="00A57515">
        <w:rPr>
          <w:b/>
          <w:bCs/>
        </w:rPr>
        <w:t>?</w:t>
      </w:r>
      <w:r w:rsidRPr="00A57515">
        <w:rPr>
          <w:b/>
          <w:bCs/>
        </w:rPr>
        <w:t>”</w:t>
      </w:r>
      <w:r w:rsidRPr="00A57515">
        <w:t xml:space="preserve"> and use it as the basis for comparing and contrasting </w:t>
      </w:r>
      <w:r w:rsidRPr="00A57515">
        <w:t>Plato with Arist</w:t>
      </w:r>
      <w:r w:rsidRPr="00A57515">
        <w:t xml:space="preserve">otle. </w:t>
      </w:r>
      <w:r w:rsidRPr="00A57515">
        <w:t>Plato and Aristotle, though both prominent philosophers of ancient Greece, had contrasting visions regarding the ideal citizen and government structure. Plato championed the concept of the "philosopher king," suggesting that only those deeply versed in philosophy and ethics were fit to rule</w:t>
      </w:r>
      <w:r w:rsidR="00664D30" w:rsidRPr="00A57515">
        <w:t xml:space="preserve"> </w:t>
      </w:r>
      <w:r w:rsidR="00664D30" w:rsidRPr="00A57515">
        <w:t>(Herman, 2013</w:t>
      </w:r>
      <w:r w:rsidR="00664D30" w:rsidRPr="00A57515">
        <w:t>)</w:t>
      </w:r>
      <w:r w:rsidRPr="00A57515">
        <w:t>. In his view, these enlightened individuals would govern justly, prioritizing the common good over personal ambition. Conversely, Aristotle believed in the importance of citizen participation and argued for a mixed government model known as a "polity," where governance is shared among citizens who take turns ruling and being ruled</w:t>
      </w:r>
      <w:r w:rsidR="00664D30" w:rsidRPr="00A57515">
        <w:t xml:space="preserve"> </w:t>
      </w:r>
      <w:r w:rsidR="00664D30" w:rsidRPr="00A57515">
        <w:t>(Herman, 2013).</w:t>
      </w:r>
      <w:r w:rsidRPr="00A57515">
        <w:t xml:space="preserve"> This approach fosters a balance of power and encourages active engagement from all members of society. Thus, while Plato envisioned a society led by a singular wise authority, Aristotle highlighted the collective role of citizens in shaping their governance, emphasizing the value of diverse perspectives.</w:t>
      </w:r>
    </w:p>
    <w:p w14:paraId="7F2C5D90" w14:textId="01358002" w:rsidR="00BF0C8C" w:rsidRPr="00A57515" w:rsidRDefault="00B315BE" w:rsidP="00A57515">
      <w:pPr>
        <w:pStyle w:val="NormalWeb"/>
        <w:spacing w:before="0" w:beforeAutospacing="0" w:after="0" w:afterAutospacing="0" w:line="480" w:lineRule="auto"/>
      </w:pPr>
      <w:r w:rsidRPr="00A57515">
        <w:t xml:space="preserve">I find myself aligning more closely with Plato’s notion of the "philosopher king." His idea reduces the chaos and competition often seen in democratic systems, where individuals may seek power for selfish purposes rather than genuine leadership. In a monarchy led by a sage ruler, the focus would remain on justice and the welfare of the populace, as the king's decisions would stem from a profound understanding of virtue and governance. Democracies can sometimes lead to the election of leaders who, while initially promising, may later cater to their interests or those of powerful groups, straying from their commitments to the public. </w:t>
      </w:r>
      <w:r w:rsidR="00E07264" w:rsidRPr="00A57515">
        <w:t xml:space="preserve">An evil interest group can sponsor a popular person loved by the masses to be elected and serve their interests. </w:t>
      </w:r>
      <w:r w:rsidR="00BF0C8C" w:rsidRPr="00A57515">
        <w:t xml:space="preserve">As noted by </w:t>
      </w:r>
      <w:r w:rsidR="00BF0C8C" w:rsidRPr="00A57515">
        <w:lastRenderedPageBreak/>
        <w:t>Plautz</w:t>
      </w:r>
      <w:r w:rsidR="00BF0C8C" w:rsidRPr="00A57515">
        <w:t xml:space="preserve"> (</w:t>
      </w:r>
      <w:r w:rsidR="00BF0C8C" w:rsidRPr="00A57515">
        <w:t>2024)</w:t>
      </w:r>
      <w:r w:rsidR="00BF0C8C" w:rsidRPr="00A57515">
        <w:t xml:space="preserve">, </w:t>
      </w:r>
      <w:r w:rsidR="00BF0C8C" w:rsidRPr="00A57515">
        <w:t>Interest groups can exert considerable influence over elected leaders in various ways, often leading to outcomes that seem detrimental to the public good. Here are some methods they use, along with examples that illustrate how their actions can be perceived as corrupt or unfair:</w:t>
      </w:r>
    </w:p>
    <w:p w14:paraId="1873A81E" w14:textId="56CBE27F" w:rsidR="00BF0C8C" w:rsidRPr="00A57515" w:rsidRDefault="00BF0C8C" w:rsidP="00A57515">
      <w:pPr>
        <w:pStyle w:val="NormalWeb"/>
        <w:spacing w:before="0" w:beforeAutospacing="0" w:after="0" w:afterAutospacing="0" w:line="480" w:lineRule="auto"/>
      </w:pPr>
      <w:r w:rsidRPr="00A57515">
        <w:rPr>
          <w:b/>
          <w:bCs/>
        </w:rPr>
        <w:t>Lobbying:</w:t>
      </w:r>
      <w:r w:rsidRPr="00A57515">
        <w:t xml:space="preserve"> Interest groups often hire lobbyists to directly engage with lawmakers, seeking to persuade them to support specific legislation. For example, the powerful National Rifle Association (NRA) exerts significant pressure on legislators to oppose gun control measures</w:t>
      </w:r>
      <w:r w:rsidRPr="00A57515">
        <w:t xml:space="preserve"> (</w:t>
      </w:r>
      <w:r w:rsidRPr="00A57515">
        <w:t>Plautz, 2024). Their lobbying efforts can effectively block legislation that the majority of Americans support, demonstrating how a well-funded group can override public sentiment.</w:t>
      </w:r>
    </w:p>
    <w:p w14:paraId="6B6C68BE" w14:textId="66BD185F" w:rsidR="00BF0C8C" w:rsidRPr="00A57515" w:rsidRDefault="00BF0C8C" w:rsidP="00A57515">
      <w:pPr>
        <w:pStyle w:val="NormalWeb"/>
        <w:spacing w:before="0" w:beforeAutospacing="0" w:after="0" w:afterAutospacing="0" w:line="480" w:lineRule="auto"/>
      </w:pPr>
      <w:r w:rsidRPr="00A57515">
        <w:rPr>
          <w:b/>
          <w:bCs/>
        </w:rPr>
        <w:t xml:space="preserve">Campaign </w:t>
      </w:r>
      <w:r w:rsidRPr="00A57515">
        <w:rPr>
          <w:b/>
          <w:bCs/>
        </w:rPr>
        <w:t>c</w:t>
      </w:r>
      <w:r w:rsidRPr="00A57515">
        <w:rPr>
          <w:b/>
          <w:bCs/>
        </w:rPr>
        <w:t>ontributions:</w:t>
      </w:r>
      <w:r w:rsidRPr="00A57515">
        <w:t xml:space="preserve"> Many interest groups contribute large sums of money to political campaigns. In the aftermath of the Citizens United ruling, corporate contributions to campaigns skyrocketed. For instance, Big Oil companies have been reported to spend millions on campaign contributions, which can lead to favorable regulations and reduced environmental protections, despite widespread public concern about climate change</w:t>
      </w:r>
      <w:r w:rsidRPr="00A57515">
        <w:t xml:space="preserve"> (</w:t>
      </w:r>
      <w:r w:rsidRPr="00A57515">
        <w:t>Plautz, 2024). This practice illustrates how the interests of a few can trump the needs of the many.</w:t>
      </w:r>
    </w:p>
    <w:p w14:paraId="18F10C08" w14:textId="33E79856" w:rsidR="00BF0C8C" w:rsidRPr="00A57515" w:rsidRDefault="00BF0C8C" w:rsidP="00A57515">
      <w:pPr>
        <w:pStyle w:val="NormalWeb"/>
        <w:spacing w:before="0" w:beforeAutospacing="0" w:after="0" w:afterAutospacing="0" w:line="480" w:lineRule="auto"/>
      </w:pPr>
      <w:r w:rsidRPr="00A57515">
        <w:rPr>
          <w:b/>
          <w:bCs/>
        </w:rPr>
        <w:t>Astroturfing:</w:t>
      </w:r>
      <w:r w:rsidRPr="00A57515">
        <w:t xml:space="preserve"> Some interest groups create the illusion of grassroots support for their causes through fake grassroots campaigns, known as astroturfing. For example, industries like tobacco and fossil fuels have historically funded organizations that appear to be independent citizen movements but are actually fronts for corporate interests</w:t>
      </w:r>
      <w:r w:rsidRPr="00A57515">
        <w:t xml:space="preserve"> (</w:t>
      </w:r>
      <w:r w:rsidRPr="00A57515">
        <w:t>Plautz, 2024). This deceptive practice can manipulate public opinion and create a false narrative that aligns with industry goals rather than the general public’s welfare.</w:t>
      </w:r>
    </w:p>
    <w:p w14:paraId="7F870E77" w14:textId="7F5CE679" w:rsidR="00BF0C8C" w:rsidRPr="00A57515" w:rsidRDefault="00BF0C8C" w:rsidP="00A57515">
      <w:pPr>
        <w:pStyle w:val="NormalWeb"/>
        <w:spacing w:before="0" w:beforeAutospacing="0" w:after="0" w:afterAutospacing="0" w:line="480" w:lineRule="auto"/>
      </w:pPr>
      <w:r w:rsidRPr="00A57515">
        <w:rPr>
          <w:b/>
          <w:bCs/>
        </w:rPr>
        <w:t xml:space="preserve">Media </w:t>
      </w:r>
      <w:r w:rsidRPr="00A57515">
        <w:rPr>
          <w:b/>
          <w:bCs/>
        </w:rPr>
        <w:t>m</w:t>
      </w:r>
      <w:r w:rsidRPr="00A57515">
        <w:rPr>
          <w:b/>
          <w:bCs/>
        </w:rPr>
        <w:t>anipulation:</w:t>
      </w:r>
      <w:r w:rsidRPr="00A57515">
        <w:t xml:space="preserve"> Interest groups often invest in media campaigns to shape narratives. Consider the role of insurance companies in orchestrating advertising campaigns against </w:t>
      </w:r>
      <w:r w:rsidRPr="00A57515">
        <w:lastRenderedPageBreak/>
        <w:t>healthcare reform initiatives. By flooding the airwaves with ads that spread misinformation about reforms, they influence public perception and, consequently, the decisions of elected officials who respond to their constituents’ concerns</w:t>
      </w:r>
      <w:r w:rsidR="00C12BEF" w:rsidRPr="00A57515">
        <w:t xml:space="preserve"> </w:t>
      </w:r>
      <w:r w:rsidR="00C12BEF" w:rsidRPr="00A57515">
        <w:t>(Plautz, 2024).</w:t>
      </w:r>
      <w:r w:rsidR="00C12BEF" w:rsidRPr="00A57515">
        <w:t xml:space="preserve"> </w:t>
      </w:r>
    </w:p>
    <w:p w14:paraId="5359FB88" w14:textId="2A02BABA" w:rsidR="00BF0C8C" w:rsidRPr="00A57515" w:rsidRDefault="00BF0C8C" w:rsidP="00A57515">
      <w:pPr>
        <w:pStyle w:val="NormalWeb"/>
        <w:spacing w:before="0" w:beforeAutospacing="0" w:after="0" w:afterAutospacing="0" w:line="480" w:lineRule="auto"/>
      </w:pPr>
      <w:r w:rsidRPr="00A57515">
        <w:rPr>
          <w:b/>
          <w:bCs/>
        </w:rPr>
        <w:t xml:space="preserve">Super PACs and </w:t>
      </w:r>
      <w:r w:rsidR="00C12BEF" w:rsidRPr="00A57515">
        <w:rPr>
          <w:b/>
          <w:bCs/>
        </w:rPr>
        <w:t>dark money</w:t>
      </w:r>
      <w:r w:rsidRPr="00A57515">
        <w:rPr>
          <w:b/>
          <w:bCs/>
        </w:rPr>
        <w:t>:</w:t>
      </w:r>
      <w:r w:rsidRPr="00A57515">
        <w:t xml:space="preserve"> As mentioned, Super PACs can raise and spend unlimited amounts of money on political campaigns without disclosing donors. A notable example is the contributions from pharmaceutical companies to Super PACs, which can lead to candidates prioritizing the interests of the drug industry over the public’s need for affordable healthcare</w:t>
      </w:r>
      <w:r w:rsidR="00C12BEF" w:rsidRPr="00A57515">
        <w:t xml:space="preserve"> </w:t>
      </w:r>
      <w:r w:rsidR="00C12BEF" w:rsidRPr="00A57515">
        <w:t>(Plautz, 2024)</w:t>
      </w:r>
      <w:r w:rsidRPr="00A57515">
        <w:t>. This lack of transparency gives undue influence to wealth, undermining the democratic process.</w:t>
      </w:r>
    </w:p>
    <w:p w14:paraId="0D71DB70" w14:textId="45C23455" w:rsidR="00BF0C8C" w:rsidRPr="00A57515" w:rsidRDefault="00BF0C8C" w:rsidP="00A57515">
      <w:pPr>
        <w:pStyle w:val="NormalWeb"/>
        <w:spacing w:before="0" w:beforeAutospacing="0" w:after="0" w:afterAutospacing="0" w:line="480" w:lineRule="auto"/>
      </w:pPr>
      <w:r w:rsidRPr="00A57515">
        <w:rPr>
          <w:b/>
          <w:bCs/>
        </w:rPr>
        <w:t xml:space="preserve">Threats and </w:t>
      </w:r>
      <w:r w:rsidRPr="00A57515">
        <w:rPr>
          <w:b/>
          <w:bCs/>
        </w:rPr>
        <w:t>i</w:t>
      </w:r>
      <w:r w:rsidRPr="00A57515">
        <w:rPr>
          <w:b/>
          <w:bCs/>
        </w:rPr>
        <w:t>ntimidation:</w:t>
      </w:r>
      <w:r w:rsidRPr="00A57515">
        <w:t xml:space="preserve"> Some interest groups resort to intimidation tactics against lawmakers who oppose them. For instance, environmental groups have reported that politicians who support environmental regulations face backlash from fossil fuel companies and their lobbying efforts</w:t>
      </w:r>
      <w:r w:rsidRPr="00A57515">
        <w:t xml:space="preserve"> </w:t>
      </w:r>
      <w:r w:rsidRPr="00A57515">
        <w:t>(Plautz, 2024), which can range from damaging advertisements to primary challenges. This climate of fear can lead legislators to abandon their principles.</w:t>
      </w:r>
    </w:p>
    <w:p w14:paraId="5648274F" w14:textId="30ADE0FE" w:rsidR="00BF0C8C" w:rsidRPr="00A57515" w:rsidRDefault="00BF0C8C" w:rsidP="00A57515">
      <w:pPr>
        <w:pStyle w:val="NormalWeb"/>
        <w:spacing w:before="0" w:beforeAutospacing="0" w:after="0" w:afterAutospacing="0" w:line="480" w:lineRule="auto"/>
      </w:pPr>
      <w:r w:rsidRPr="00A57515">
        <w:rPr>
          <w:b/>
          <w:bCs/>
        </w:rPr>
        <w:t xml:space="preserve">Legislative </w:t>
      </w:r>
      <w:r w:rsidRPr="00A57515">
        <w:rPr>
          <w:b/>
          <w:bCs/>
        </w:rPr>
        <w:t>c</w:t>
      </w:r>
      <w:r w:rsidRPr="00A57515">
        <w:rPr>
          <w:b/>
          <w:bCs/>
        </w:rPr>
        <w:t>apture:</w:t>
      </w:r>
      <w:r w:rsidRPr="00A57515">
        <w:t xml:space="preserve"> In some cases, interest groups can create a 'revolving door' between industry and government, where former lobbyists or executives take on regulatory roles. An example is the relationship between the financial sector and government agencies following the 2008 financial crisis, where former bank executives were placed in key regulatory positions</w:t>
      </w:r>
      <w:r w:rsidR="00C12BEF" w:rsidRPr="00A57515">
        <w:t xml:space="preserve"> </w:t>
      </w:r>
      <w:r w:rsidR="00C12BEF" w:rsidRPr="00A57515">
        <w:t>(Plautz, 2024)</w:t>
      </w:r>
      <w:r w:rsidRPr="00A57515">
        <w:t>, leading to policies that favored their previous employers rather than the public interest.</w:t>
      </w:r>
    </w:p>
    <w:p w14:paraId="16004A07" w14:textId="750A7B6B" w:rsidR="00B315BE" w:rsidRPr="00A57515" w:rsidRDefault="00BF0C8C" w:rsidP="00A57515">
      <w:pPr>
        <w:pStyle w:val="NormalWeb"/>
        <w:spacing w:before="0" w:beforeAutospacing="0" w:after="0" w:afterAutospacing="0" w:line="480" w:lineRule="auto"/>
      </w:pPr>
      <w:r w:rsidRPr="00A57515">
        <w:t xml:space="preserve">These examples highlight a significant concern: When interest groups with vast resources can substantially distort policy outcomes, it raises questions about the efficacy of democratic governance. The influence they wield reflects Plato’s warning about the dangers of democracy, </w:t>
      </w:r>
      <w:r w:rsidRPr="00A57515">
        <w:lastRenderedPageBreak/>
        <w:t>where the many may suffer at the expense of a few powerful interests. In contrast, a more controlled approach to leadership, such as a monarchy, could potentially provide a stabilizing force, prioritizing the common good over the whims of organized and well-funded factions.</w:t>
      </w:r>
      <w:r w:rsidRPr="00A57515">
        <w:t xml:space="preserve"> </w:t>
      </w:r>
      <w:r w:rsidR="00B315BE" w:rsidRPr="00A57515">
        <w:t>Therefore, I believe that the concept of a philosopher king offers a more stable, just, and principled approach to governance, mitigating the risks associated with the unpredictable nature of democratic leadership.</w:t>
      </w:r>
      <w:r w:rsidR="00664D30" w:rsidRPr="00A57515">
        <w:t xml:space="preserve"> In a nutshell, my answer to the question </w:t>
      </w:r>
      <w:r w:rsidR="00664D30" w:rsidRPr="00A57515">
        <w:rPr>
          <w:b/>
          <w:bCs/>
        </w:rPr>
        <w:t>“Good citizen or philosopher ruler?”</w:t>
      </w:r>
      <w:r w:rsidR="00664D30" w:rsidRPr="00A57515">
        <w:rPr>
          <w:b/>
          <w:bCs/>
        </w:rPr>
        <w:t xml:space="preserve"> </w:t>
      </w:r>
      <w:r w:rsidR="00664D30" w:rsidRPr="00A57515">
        <w:t xml:space="preserve">would be philosopher ruler can create a just society. </w:t>
      </w:r>
    </w:p>
    <w:p w14:paraId="325E9300" w14:textId="27483252" w:rsidR="00625A21" w:rsidRPr="00A57515" w:rsidRDefault="00E07264" w:rsidP="00A57515">
      <w:pPr>
        <w:pStyle w:val="NormalWeb"/>
        <w:spacing w:before="0" w:beforeAutospacing="0" w:after="0" w:afterAutospacing="0" w:line="480" w:lineRule="auto"/>
        <w:rPr>
          <w:b/>
          <w:bCs/>
        </w:rPr>
      </w:pPr>
      <w:r w:rsidRPr="00A57515">
        <w:rPr>
          <w:b/>
          <w:bCs/>
        </w:rPr>
        <w:t xml:space="preserve">Question 2: </w:t>
      </w:r>
      <w:r w:rsidR="00625A21" w:rsidRPr="00A57515">
        <w:rPr>
          <w:b/>
          <w:bCs/>
        </w:rPr>
        <w:t xml:space="preserve">Evaluate Saint Thomas Aquinas’ view of the root of </w:t>
      </w:r>
      <w:r w:rsidR="00664D30" w:rsidRPr="00A57515">
        <w:rPr>
          <w:b/>
          <w:bCs/>
        </w:rPr>
        <w:t xml:space="preserve">a </w:t>
      </w:r>
      <w:r w:rsidR="00625A21" w:rsidRPr="00A57515">
        <w:rPr>
          <w:b/>
          <w:bCs/>
        </w:rPr>
        <w:t>good society</w:t>
      </w:r>
      <w:r w:rsidR="00664D30" w:rsidRPr="00A57515">
        <w:rPr>
          <w:b/>
          <w:bCs/>
        </w:rPr>
        <w:t>.</w:t>
      </w:r>
    </w:p>
    <w:p w14:paraId="51EC526D" w14:textId="2AA409AB" w:rsidR="00E07264" w:rsidRPr="00A57515" w:rsidRDefault="00E07264" w:rsidP="00A57515">
      <w:pPr>
        <w:pStyle w:val="NormalWeb"/>
        <w:spacing w:before="0" w:beforeAutospacing="0" w:after="0" w:afterAutospacing="0" w:line="480" w:lineRule="auto"/>
      </w:pPr>
      <w:r w:rsidRPr="00A57515">
        <w:t>Saint Thomas Aquinas believed that a good society is founded on the idea of the "common good," where the government serves the interests of all its citizens. He reconciled Aristotle’s political philosophy with Christian faith, emphasizing that just rulers must prioritize the shared well-being of the community</w:t>
      </w:r>
      <w:r w:rsidR="00C12BEF" w:rsidRPr="00A57515">
        <w:t xml:space="preserve"> </w:t>
      </w:r>
      <w:r w:rsidR="00C12BEF" w:rsidRPr="00A57515">
        <w:t>(Teach Democracy, 2025)</w:t>
      </w:r>
      <w:r w:rsidRPr="00A57515">
        <w:t>. According to Aquinas, a good society is one in which individuals work together to achieve virtues such as courage, honesty, and justice. He argued that human beings are naturally social and require a governing body to promote a harmonious community</w:t>
      </w:r>
      <w:r w:rsidR="00C12BEF" w:rsidRPr="00A57515">
        <w:t xml:space="preserve"> </w:t>
      </w:r>
      <w:r w:rsidR="00C12BEF" w:rsidRPr="00A57515">
        <w:t>(Teach Democracy, 2025)</w:t>
      </w:r>
      <w:r w:rsidRPr="00A57515">
        <w:t>. For Aquinas, laws should reflect moral principles derived from both reason and faith, guiding individuals toward virtuous living. As such, he maintained that the ultimate purpose of society is not only to maintain order but also to cultivate a moral environment where all people can thrive. Thus, a just society, in Aquinas’ view, is intrinsically linked to the pursuit of the common good and adherence to natural law.</w:t>
      </w:r>
    </w:p>
    <w:p w14:paraId="42B0697F" w14:textId="77777777" w:rsidR="00A57515" w:rsidRPr="00A57515" w:rsidRDefault="00A57515" w:rsidP="00A57515">
      <w:pPr>
        <w:pStyle w:val="NormalWeb"/>
        <w:spacing w:before="0" w:beforeAutospacing="0" w:after="0" w:afterAutospacing="0" w:line="480" w:lineRule="auto"/>
        <w:jc w:val="center"/>
        <w:rPr>
          <w:b/>
          <w:bCs/>
        </w:rPr>
      </w:pPr>
      <w:r w:rsidRPr="00A57515">
        <w:rPr>
          <w:b/>
          <w:bCs/>
        </w:rPr>
        <w:t>References</w:t>
      </w:r>
    </w:p>
    <w:p w14:paraId="04CBFB37" w14:textId="77777777" w:rsidR="00A57515" w:rsidRPr="00A57515" w:rsidRDefault="00A57515" w:rsidP="00A57515">
      <w:pPr>
        <w:pStyle w:val="NormalWeb"/>
        <w:spacing w:before="0" w:beforeAutospacing="0" w:after="0" w:afterAutospacing="0" w:line="480" w:lineRule="auto"/>
      </w:pPr>
      <w:r w:rsidRPr="00A57515">
        <w:t>Herman, A. (2013). The cave and the light: Plato versus Aristotle, and the struggle for the soul of western civilization. Random House.</w:t>
      </w:r>
    </w:p>
    <w:p w14:paraId="20712ACC" w14:textId="77777777" w:rsidR="00A57515" w:rsidRPr="00A57515" w:rsidRDefault="00A57515" w:rsidP="00A57515">
      <w:pPr>
        <w:pStyle w:val="NormalWeb"/>
        <w:spacing w:before="0" w:beforeAutospacing="0" w:after="0" w:afterAutospacing="0" w:line="480" w:lineRule="auto"/>
      </w:pPr>
      <w:r w:rsidRPr="00A57515">
        <w:lastRenderedPageBreak/>
        <w:t xml:space="preserve">Plautz N. (2024, June 10). How do special interest groups control our government? RepresentUs. </w:t>
      </w:r>
      <w:hyperlink r:id="rId4" w:history="1">
        <w:r w:rsidRPr="00A57515">
          <w:rPr>
            <w:rStyle w:val="Hyperlink"/>
            <w:rFonts w:eastAsiaTheme="majorEastAsia"/>
          </w:rPr>
          <w:t>https://act.represent.us/sign/how-special-interest-groups-control-government</w:t>
        </w:r>
      </w:hyperlink>
    </w:p>
    <w:p w14:paraId="3083A854" w14:textId="77777777" w:rsidR="00A57515" w:rsidRPr="00A57515" w:rsidRDefault="00A57515" w:rsidP="00A57515">
      <w:pPr>
        <w:pStyle w:val="NormalWeb"/>
        <w:spacing w:before="0" w:beforeAutospacing="0" w:after="0" w:afterAutospacing="0" w:line="480" w:lineRule="auto"/>
      </w:pPr>
      <w:r w:rsidRPr="00A57515">
        <w:t xml:space="preserve">Teach Democracy. (2025). Bill of Rights in action. </w:t>
      </w:r>
      <w:hyperlink r:id="rId5" w:history="1">
        <w:r w:rsidRPr="00A57515">
          <w:rPr>
            <w:rStyle w:val="Hyperlink"/>
            <w:rFonts w:eastAsiaTheme="majorEastAsia"/>
          </w:rPr>
          <w:t>https://teachdemocracy.org/online-lessons/bill-of-rights-in-action/bria-22-4-c-st-thomas-aquinas-natural-law-and-the-common-good</w:t>
        </w:r>
      </w:hyperlink>
    </w:p>
    <w:p w14:paraId="45DD7EA6" w14:textId="77777777" w:rsidR="00A57515" w:rsidRPr="00A57515" w:rsidRDefault="00A57515" w:rsidP="00A57515">
      <w:pPr>
        <w:spacing w:line="480" w:lineRule="auto"/>
        <w:rPr>
          <w:rFonts w:ascii="Times New Roman" w:hAnsi="Times New Roman" w:cs="Times New Roman"/>
        </w:rPr>
      </w:pPr>
    </w:p>
    <w:p w14:paraId="455756F9" w14:textId="77777777" w:rsidR="00A57515" w:rsidRPr="00A57515" w:rsidRDefault="00A57515" w:rsidP="00A57515">
      <w:pPr>
        <w:pStyle w:val="NormalWeb"/>
        <w:spacing w:before="0" w:beforeAutospacing="0" w:after="0" w:afterAutospacing="0" w:line="480" w:lineRule="auto"/>
      </w:pPr>
    </w:p>
    <w:p w14:paraId="33C051C8" w14:textId="77777777" w:rsidR="00625A21" w:rsidRPr="00A57515" w:rsidRDefault="00625A21" w:rsidP="00A57515">
      <w:pPr>
        <w:spacing w:after="0" w:line="480" w:lineRule="auto"/>
        <w:rPr>
          <w:rFonts w:ascii="Times New Roman" w:hAnsi="Times New Roman" w:cs="Times New Roman"/>
          <w:lang w:val="en-US"/>
        </w:rPr>
      </w:pPr>
    </w:p>
    <w:p w14:paraId="55C31DF5" w14:textId="77777777" w:rsidR="00E07264" w:rsidRPr="00A57515" w:rsidRDefault="00E07264" w:rsidP="00A57515">
      <w:pPr>
        <w:spacing w:after="0" w:line="480" w:lineRule="auto"/>
        <w:rPr>
          <w:rFonts w:ascii="Times New Roman" w:hAnsi="Times New Roman" w:cs="Times New Roman"/>
          <w:lang w:val="en-US"/>
        </w:rPr>
      </w:pPr>
    </w:p>
    <w:sectPr w:rsidR="00E07264" w:rsidRPr="00A575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BAD"/>
    <w:rsid w:val="00553BAD"/>
    <w:rsid w:val="00625A21"/>
    <w:rsid w:val="00664D30"/>
    <w:rsid w:val="009556C5"/>
    <w:rsid w:val="00A57515"/>
    <w:rsid w:val="00B315BE"/>
    <w:rsid w:val="00BF0C8C"/>
    <w:rsid w:val="00C12BEF"/>
    <w:rsid w:val="00E0726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AB0164C"/>
  <w15:chartTrackingRefBased/>
  <w15:docId w15:val="{844DD396-1364-ED43-BDFA-25E3292B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BAD"/>
    <w:rPr>
      <w:rFonts w:eastAsiaTheme="majorEastAsia" w:cstheme="majorBidi"/>
      <w:color w:val="272727" w:themeColor="text1" w:themeTint="D8"/>
    </w:rPr>
  </w:style>
  <w:style w:type="paragraph" w:styleId="Title">
    <w:name w:val="Title"/>
    <w:basedOn w:val="Normal"/>
    <w:next w:val="Normal"/>
    <w:link w:val="TitleChar"/>
    <w:uiPriority w:val="10"/>
    <w:qFormat/>
    <w:rsid w:val="00553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BAD"/>
    <w:pPr>
      <w:spacing w:before="160"/>
      <w:jc w:val="center"/>
    </w:pPr>
    <w:rPr>
      <w:i/>
      <w:iCs/>
      <w:color w:val="404040" w:themeColor="text1" w:themeTint="BF"/>
    </w:rPr>
  </w:style>
  <w:style w:type="character" w:customStyle="1" w:styleId="QuoteChar">
    <w:name w:val="Quote Char"/>
    <w:basedOn w:val="DefaultParagraphFont"/>
    <w:link w:val="Quote"/>
    <w:uiPriority w:val="29"/>
    <w:rsid w:val="00553BAD"/>
    <w:rPr>
      <w:i/>
      <w:iCs/>
      <w:color w:val="404040" w:themeColor="text1" w:themeTint="BF"/>
    </w:rPr>
  </w:style>
  <w:style w:type="paragraph" w:styleId="ListParagraph">
    <w:name w:val="List Paragraph"/>
    <w:basedOn w:val="Normal"/>
    <w:uiPriority w:val="34"/>
    <w:qFormat/>
    <w:rsid w:val="00553BAD"/>
    <w:pPr>
      <w:ind w:left="720"/>
      <w:contextualSpacing/>
    </w:pPr>
  </w:style>
  <w:style w:type="character" w:styleId="IntenseEmphasis">
    <w:name w:val="Intense Emphasis"/>
    <w:basedOn w:val="DefaultParagraphFont"/>
    <w:uiPriority w:val="21"/>
    <w:qFormat/>
    <w:rsid w:val="00553BAD"/>
    <w:rPr>
      <w:i/>
      <w:iCs/>
      <w:color w:val="0F4761" w:themeColor="accent1" w:themeShade="BF"/>
    </w:rPr>
  </w:style>
  <w:style w:type="paragraph" w:styleId="IntenseQuote">
    <w:name w:val="Intense Quote"/>
    <w:basedOn w:val="Normal"/>
    <w:next w:val="Normal"/>
    <w:link w:val="IntenseQuoteChar"/>
    <w:uiPriority w:val="30"/>
    <w:qFormat/>
    <w:rsid w:val="00553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BAD"/>
    <w:rPr>
      <w:i/>
      <w:iCs/>
      <w:color w:val="0F4761" w:themeColor="accent1" w:themeShade="BF"/>
    </w:rPr>
  </w:style>
  <w:style w:type="character" w:styleId="IntenseReference">
    <w:name w:val="Intense Reference"/>
    <w:basedOn w:val="DefaultParagraphFont"/>
    <w:uiPriority w:val="32"/>
    <w:qFormat/>
    <w:rsid w:val="00553BAD"/>
    <w:rPr>
      <w:b/>
      <w:bCs/>
      <w:smallCaps/>
      <w:color w:val="0F4761" w:themeColor="accent1" w:themeShade="BF"/>
      <w:spacing w:val="5"/>
    </w:rPr>
  </w:style>
  <w:style w:type="paragraph" w:styleId="NormalWeb">
    <w:name w:val="Normal (Web)"/>
    <w:basedOn w:val="Normal"/>
    <w:uiPriority w:val="99"/>
    <w:semiHidden/>
    <w:unhideWhenUsed/>
    <w:rsid w:val="00625A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575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3989">
      <w:bodyDiv w:val="1"/>
      <w:marLeft w:val="0"/>
      <w:marRight w:val="0"/>
      <w:marTop w:val="0"/>
      <w:marBottom w:val="0"/>
      <w:divBdr>
        <w:top w:val="none" w:sz="0" w:space="0" w:color="auto"/>
        <w:left w:val="none" w:sz="0" w:space="0" w:color="auto"/>
        <w:bottom w:val="none" w:sz="0" w:space="0" w:color="auto"/>
        <w:right w:val="none" w:sz="0" w:space="0" w:color="auto"/>
      </w:divBdr>
    </w:div>
    <w:div w:id="275992628">
      <w:bodyDiv w:val="1"/>
      <w:marLeft w:val="0"/>
      <w:marRight w:val="0"/>
      <w:marTop w:val="0"/>
      <w:marBottom w:val="0"/>
      <w:divBdr>
        <w:top w:val="none" w:sz="0" w:space="0" w:color="auto"/>
        <w:left w:val="none" w:sz="0" w:space="0" w:color="auto"/>
        <w:bottom w:val="none" w:sz="0" w:space="0" w:color="auto"/>
        <w:right w:val="none" w:sz="0" w:space="0" w:color="auto"/>
      </w:divBdr>
    </w:div>
    <w:div w:id="329451316">
      <w:bodyDiv w:val="1"/>
      <w:marLeft w:val="0"/>
      <w:marRight w:val="0"/>
      <w:marTop w:val="0"/>
      <w:marBottom w:val="0"/>
      <w:divBdr>
        <w:top w:val="none" w:sz="0" w:space="0" w:color="auto"/>
        <w:left w:val="none" w:sz="0" w:space="0" w:color="auto"/>
        <w:bottom w:val="none" w:sz="0" w:space="0" w:color="auto"/>
        <w:right w:val="none" w:sz="0" w:space="0" w:color="auto"/>
      </w:divBdr>
    </w:div>
    <w:div w:id="348995635">
      <w:bodyDiv w:val="1"/>
      <w:marLeft w:val="0"/>
      <w:marRight w:val="0"/>
      <w:marTop w:val="0"/>
      <w:marBottom w:val="0"/>
      <w:divBdr>
        <w:top w:val="none" w:sz="0" w:space="0" w:color="auto"/>
        <w:left w:val="none" w:sz="0" w:space="0" w:color="auto"/>
        <w:bottom w:val="none" w:sz="0" w:space="0" w:color="auto"/>
        <w:right w:val="none" w:sz="0" w:space="0" w:color="auto"/>
      </w:divBdr>
    </w:div>
    <w:div w:id="482623837">
      <w:bodyDiv w:val="1"/>
      <w:marLeft w:val="0"/>
      <w:marRight w:val="0"/>
      <w:marTop w:val="0"/>
      <w:marBottom w:val="0"/>
      <w:divBdr>
        <w:top w:val="none" w:sz="0" w:space="0" w:color="auto"/>
        <w:left w:val="none" w:sz="0" w:space="0" w:color="auto"/>
        <w:bottom w:val="none" w:sz="0" w:space="0" w:color="auto"/>
        <w:right w:val="none" w:sz="0" w:space="0" w:color="auto"/>
      </w:divBdr>
    </w:div>
    <w:div w:id="779296636">
      <w:bodyDiv w:val="1"/>
      <w:marLeft w:val="0"/>
      <w:marRight w:val="0"/>
      <w:marTop w:val="0"/>
      <w:marBottom w:val="0"/>
      <w:divBdr>
        <w:top w:val="none" w:sz="0" w:space="0" w:color="auto"/>
        <w:left w:val="none" w:sz="0" w:space="0" w:color="auto"/>
        <w:bottom w:val="none" w:sz="0" w:space="0" w:color="auto"/>
        <w:right w:val="none" w:sz="0" w:space="0" w:color="auto"/>
      </w:divBdr>
    </w:div>
    <w:div w:id="1163542543">
      <w:bodyDiv w:val="1"/>
      <w:marLeft w:val="0"/>
      <w:marRight w:val="0"/>
      <w:marTop w:val="0"/>
      <w:marBottom w:val="0"/>
      <w:divBdr>
        <w:top w:val="none" w:sz="0" w:space="0" w:color="auto"/>
        <w:left w:val="none" w:sz="0" w:space="0" w:color="auto"/>
        <w:bottom w:val="none" w:sz="0" w:space="0" w:color="auto"/>
        <w:right w:val="none" w:sz="0" w:space="0" w:color="auto"/>
      </w:divBdr>
    </w:div>
    <w:div w:id="1229262157">
      <w:bodyDiv w:val="1"/>
      <w:marLeft w:val="0"/>
      <w:marRight w:val="0"/>
      <w:marTop w:val="0"/>
      <w:marBottom w:val="0"/>
      <w:divBdr>
        <w:top w:val="none" w:sz="0" w:space="0" w:color="auto"/>
        <w:left w:val="none" w:sz="0" w:space="0" w:color="auto"/>
        <w:bottom w:val="none" w:sz="0" w:space="0" w:color="auto"/>
        <w:right w:val="none" w:sz="0" w:space="0" w:color="auto"/>
      </w:divBdr>
    </w:div>
    <w:div w:id="1466007141">
      <w:bodyDiv w:val="1"/>
      <w:marLeft w:val="0"/>
      <w:marRight w:val="0"/>
      <w:marTop w:val="0"/>
      <w:marBottom w:val="0"/>
      <w:divBdr>
        <w:top w:val="none" w:sz="0" w:space="0" w:color="auto"/>
        <w:left w:val="none" w:sz="0" w:space="0" w:color="auto"/>
        <w:bottom w:val="none" w:sz="0" w:space="0" w:color="auto"/>
        <w:right w:val="none" w:sz="0" w:space="0" w:color="auto"/>
      </w:divBdr>
    </w:div>
    <w:div w:id="20005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eachdemocracy.org/online-lessons/bill-of-rights-in-action/bria-22-4-c-st-thomas-aquinas-natural-law-and-the-common-good" TargetMode="External"/><Relationship Id="rId4" Type="http://schemas.openxmlformats.org/officeDocument/2006/relationships/hyperlink" Target="https://act.represent.us/sign/how-special-interest-groups-control-gover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2025-05-07T12:42:00Z</dcterms:created>
  <dcterms:modified xsi:type="dcterms:W3CDTF">2025-05-07T14:18:00Z</dcterms:modified>
</cp:coreProperties>
</file>