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2AEF" w14:textId="36C8A095" w:rsidR="000B4111" w:rsidRDefault="000B4111" w:rsidP="000B4111">
      <w:pPr>
        <w:pStyle w:val="NormalWeb"/>
      </w:pPr>
      <w:r>
        <w:t xml:space="preserve">Wang Yangming </w:t>
      </w:r>
      <w:r w:rsidR="00496153">
        <w:t>–</w:t>
      </w:r>
      <w:r>
        <w:t xml:space="preserve"> China</w:t>
      </w:r>
    </w:p>
    <w:p w14:paraId="4F5F18F0" w14:textId="77777777" w:rsidR="000B4111" w:rsidRDefault="000B4111" w:rsidP="000B4111">
      <w:pPr>
        <w:pStyle w:val="NormalWeb"/>
      </w:pPr>
      <w:r>
        <w:t>Wang Yangming (1472–1529), a prominent Neo-Confucian scholar and philosopher during the Ming Dynasty, developed a comprehensive philosophical system that fundamentally challenged and expanded traditional Confucian ideas. His philosophy, often referred to as the "Learning of the Mind" or "Mind-Sky Doctrine," emphasizes the intrinsic unity of knowledge and action, the innate moral nature of human beings, and the importance of internal moral cultivation.</w:t>
      </w:r>
    </w:p>
    <w:p w14:paraId="0E4C9F6F" w14:textId="77777777" w:rsidR="000B4111" w:rsidRDefault="000B4111" w:rsidP="000B4111">
      <w:pPr>
        <w:pStyle w:val="NormalWeb"/>
      </w:pPr>
      <w:r>
        <w:t>At the core of Wang's thought is the principle that true knowledge and moral action are inseparable. Unlike earlier Confucian scholars who often distinguished between the acquisition of knowledge through study and the moral activity of righteous conduct, Wang argued that genuine knowledge is directly connected to moral action and that it does not exist as a separate or theoretical domain. This perspective is encapsulated in his famous assertion that "to know and to act are one." For Wang, knowing what is right is not merely an intellectual exercise; it automatically entails acting morally. If one truly understands the moral principles, righteous behavior will necessarily follow in the moment of moral choice, emphasizing spontaneity and sincerity.</w:t>
      </w:r>
    </w:p>
    <w:p w14:paraId="2C8D1C8C" w14:textId="77777777" w:rsidR="000B4111" w:rsidRDefault="000B4111" w:rsidP="000B4111">
      <w:pPr>
        <w:pStyle w:val="NormalWeb"/>
      </w:pPr>
      <w:r>
        <w:t xml:space="preserve">A key concept in Wang’s philosophy is </w:t>
      </w:r>
      <w:r>
        <w:rPr>
          <w:rStyle w:val="Strong"/>
          <w:rFonts w:eastAsiaTheme="majorEastAsia"/>
        </w:rPr>
        <w:t>liangzhi</w:t>
      </w:r>
      <w:r>
        <w:t>—often translated as "the innate knowledge of good." He believed that all humans are born with an innate moral intuition, a kind of moral consciousness embedded within human nature. This innate moral sense is universal and accessible to all, serving as the foundation of ethical behavior. Wang held that this moral knowledge resides within the mind (or heart), which acts as the moral compass guiding one toward virtue. Because of this, moral cultivation involves awakening, protecting, and practicing this innate knowledge rather than seeking virtue solely through external teachings or ritual performances.</w:t>
      </w:r>
    </w:p>
    <w:p w14:paraId="3C8CFBAE" w14:textId="063FD85D" w:rsidR="000B4111" w:rsidRDefault="000B4111" w:rsidP="000B4111">
      <w:pPr>
        <w:pStyle w:val="NormalWeb"/>
      </w:pPr>
      <w:r>
        <w:t xml:space="preserve">Wang’s focus on the </w:t>
      </w:r>
      <w:r>
        <w:rPr>
          <w:rStyle w:val="Strong"/>
          <w:rFonts w:eastAsiaTheme="majorEastAsia"/>
        </w:rPr>
        <w:t>mind</w:t>
      </w:r>
      <w:r>
        <w:t xml:space="preserve"> or </w:t>
      </w:r>
      <w:r>
        <w:rPr>
          <w:rStyle w:val="Strong"/>
          <w:rFonts w:eastAsiaTheme="majorEastAsia"/>
        </w:rPr>
        <w:t>heart</w:t>
      </w:r>
      <w:r>
        <w:t xml:space="preserve"> (xin) as the locus of moral truth was revolutionary. He posited that the principle (li) does not exist outside the human mind, but inherently within it. Cultivating the mind, therefore, involves introspective self-awareness and rectification—questioning and eliminating selfish desires, attachments, and superficial distractions that obscure innate moral knowledge. This inward focus contrasts with earlier Confucian approaches that emphasized external rites, classical texts, and social roles as the primary means of moral cultivation.</w:t>
      </w:r>
    </w:p>
    <w:p w14:paraId="07A00D5E" w14:textId="77777777" w:rsidR="000B4111" w:rsidRDefault="000B4111" w:rsidP="000B4111">
      <w:pPr>
        <w:pStyle w:val="NormalWeb"/>
      </w:pPr>
      <w:r>
        <w:t xml:space="preserve">An important attribute of Wang’s approach is </w:t>
      </w:r>
      <w:r>
        <w:rPr>
          <w:rStyle w:val="Strong"/>
          <w:rFonts w:eastAsiaTheme="majorEastAsia"/>
        </w:rPr>
        <w:t>immediacy</w:t>
      </w:r>
      <w:r>
        <w:t>—the idea that moral knowledge should be applied instantly. He believed that moral understanding gained through reflection and intuition should be expressed immediately in action, reinforcing sincerity (cheng) and authenticity. This immediacy fosters a more spontaneous moral response, which Wang viewed as more genuine than deliberate, ritualized conduct.</w:t>
      </w:r>
    </w:p>
    <w:p w14:paraId="222D89BF" w14:textId="77777777" w:rsidR="000B4111" w:rsidRDefault="000B4111" w:rsidP="000B4111">
      <w:pPr>
        <w:pStyle w:val="NormalWeb"/>
      </w:pPr>
      <w:r>
        <w:t xml:space="preserve">Wang Yangming's philosophy also emphasizes </w:t>
      </w:r>
      <w:r>
        <w:rPr>
          <w:rStyle w:val="Strong"/>
          <w:rFonts w:eastAsiaTheme="majorEastAsia"/>
        </w:rPr>
        <w:t>self-cultivation</w:t>
      </w:r>
      <w:r>
        <w:t xml:space="preserve"> as an active process. He urged individuals to engage in sincere introspection, actively purify their hearts and minds, and practice benevolence and righteousness. This cultivation is continuous and personal, making morality more accessible and immediate for each person, moving away from rigid allegiance to external authority or textual memorization.</w:t>
      </w:r>
    </w:p>
    <w:p w14:paraId="480A1983" w14:textId="77777777" w:rsidR="000B4111" w:rsidRDefault="000B4111" w:rsidP="000B4111">
      <w:pPr>
        <w:pStyle w:val="NormalWeb"/>
      </w:pPr>
      <w:r>
        <w:lastRenderedPageBreak/>
        <w:t>In summary, Wang's philosophy reshapes Confucian thinking by asserting that moral knowledge is innate, internal, and immediately actionable. It highlights the unity of knowledge and action, the importance of internal moral intuition, and the necessity of personal effort in self-cultivation. His ideas opened new pathways for moral development that emphasize spontaneity, sincerity, and inner moral awareness, influencing generations of scholars and reformers. Wang’s teachings continue to inspire those who believe that moral virtue begins within the individual, accessible through introspection and sincere action, rather than external ceremonies or prescribed doctrines.</w:t>
      </w:r>
    </w:p>
    <w:p w14:paraId="050EBD4A" w14:textId="77777777" w:rsidR="000B4111" w:rsidRDefault="000B4111"/>
    <w:sectPr w:rsidR="000B41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111"/>
    <w:rsid w:val="000B4111"/>
    <w:rsid w:val="00496153"/>
    <w:rsid w:val="005B6ADD"/>
    <w:rsid w:val="00C86B5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9E3077C"/>
  <w15:chartTrackingRefBased/>
  <w15:docId w15:val="{A77176B6-5A9E-A241-B434-08F78F97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111"/>
    <w:rPr>
      <w:rFonts w:eastAsiaTheme="majorEastAsia" w:cstheme="majorBidi"/>
      <w:color w:val="272727" w:themeColor="text1" w:themeTint="D8"/>
    </w:rPr>
  </w:style>
  <w:style w:type="paragraph" w:styleId="Title">
    <w:name w:val="Title"/>
    <w:basedOn w:val="Normal"/>
    <w:next w:val="Normal"/>
    <w:link w:val="TitleChar"/>
    <w:uiPriority w:val="10"/>
    <w:qFormat/>
    <w:rsid w:val="000B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111"/>
    <w:pPr>
      <w:spacing w:before="160"/>
      <w:jc w:val="center"/>
    </w:pPr>
    <w:rPr>
      <w:i/>
      <w:iCs/>
      <w:color w:val="404040" w:themeColor="text1" w:themeTint="BF"/>
    </w:rPr>
  </w:style>
  <w:style w:type="character" w:customStyle="1" w:styleId="QuoteChar">
    <w:name w:val="Quote Char"/>
    <w:basedOn w:val="DefaultParagraphFont"/>
    <w:link w:val="Quote"/>
    <w:uiPriority w:val="29"/>
    <w:rsid w:val="000B4111"/>
    <w:rPr>
      <w:i/>
      <w:iCs/>
      <w:color w:val="404040" w:themeColor="text1" w:themeTint="BF"/>
    </w:rPr>
  </w:style>
  <w:style w:type="paragraph" w:styleId="ListParagraph">
    <w:name w:val="List Paragraph"/>
    <w:basedOn w:val="Normal"/>
    <w:uiPriority w:val="34"/>
    <w:qFormat/>
    <w:rsid w:val="000B4111"/>
    <w:pPr>
      <w:ind w:left="720"/>
      <w:contextualSpacing/>
    </w:pPr>
  </w:style>
  <w:style w:type="character" w:styleId="IntenseEmphasis">
    <w:name w:val="Intense Emphasis"/>
    <w:basedOn w:val="DefaultParagraphFont"/>
    <w:uiPriority w:val="21"/>
    <w:qFormat/>
    <w:rsid w:val="000B4111"/>
    <w:rPr>
      <w:i/>
      <w:iCs/>
      <w:color w:val="0F4761" w:themeColor="accent1" w:themeShade="BF"/>
    </w:rPr>
  </w:style>
  <w:style w:type="paragraph" w:styleId="IntenseQuote">
    <w:name w:val="Intense Quote"/>
    <w:basedOn w:val="Normal"/>
    <w:next w:val="Normal"/>
    <w:link w:val="IntenseQuoteChar"/>
    <w:uiPriority w:val="30"/>
    <w:qFormat/>
    <w:rsid w:val="000B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111"/>
    <w:rPr>
      <w:i/>
      <w:iCs/>
      <w:color w:val="0F4761" w:themeColor="accent1" w:themeShade="BF"/>
    </w:rPr>
  </w:style>
  <w:style w:type="character" w:styleId="IntenseReference">
    <w:name w:val="Intense Reference"/>
    <w:basedOn w:val="DefaultParagraphFont"/>
    <w:uiPriority w:val="32"/>
    <w:qFormat/>
    <w:rsid w:val="000B4111"/>
    <w:rPr>
      <w:b/>
      <w:bCs/>
      <w:smallCaps/>
      <w:color w:val="0F4761" w:themeColor="accent1" w:themeShade="BF"/>
      <w:spacing w:val="5"/>
    </w:rPr>
  </w:style>
  <w:style w:type="paragraph" w:styleId="NormalWeb">
    <w:name w:val="Normal (Web)"/>
    <w:basedOn w:val="Normal"/>
    <w:uiPriority w:val="99"/>
    <w:semiHidden/>
    <w:unhideWhenUsed/>
    <w:rsid w:val="000B41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B4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60062">
      <w:bodyDiv w:val="1"/>
      <w:marLeft w:val="0"/>
      <w:marRight w:val="0"/>
      <w:marTop w:val="0"/>
      <w:marBottom w:val="0"/>
      <w:divBdr>
        <w:top w:val="none" w:sz="0" w:space="0" w:color="auto"/>
        <w:left w:val="none" w:sz="0" w:space="0" w:color="auto"/>
        <w:bottom w:val="none" w:sz="0" w:space="0" w:color="auto"/>
        <w:right w:val="none" w:sz="0" w:space="0" w:color="auto"/>
      </w:divBdr>
    </w:div>
    <w:div w:id="92893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2025-05-27T11:20:00Z</dcterms:created>
  <dcterms:modified xsi:type="dcterms:W3CDTF">2025-05-27T21:42:00Z</dcterms:modified>
</cp:coreProperties>
</file>