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D9CA6" w14:textId="77777777" w:rsidR="006E324B" w:rsidRPr="006E324B" w:rsidRDefault="006E324B" w:rsidP="006E324B">
      <w:pPr>
        <w:pStyle w:val="Title"/>
        <w:spacing w:after="0" w:line="480" w:lineRule="auto"/>
        <w:jc w:val="center"/>
        <w:rPr>
          <w:rFonts w:ascii="Times New Roman" w:hAnsi="Times New Roman" w:cs="Times New Roman"/>
          <w:b/>
          <w:bCs/>
          <w:sz w:val="24"/>
          <w:szCs w:val="24"/>
        </w:rPr>
      </w:pPr>
      <w:r w:rsidRPr="006E324B">
        <w:rPr>
          <w:rFonts w:ascii="Times New Roman" w:hAnsi="Times New Roman" w:cs="Times New Roman"/>
          <w:b/>
          <w:bCs/>
          <w:sz w:val="24"/>
          <w:szCs w:val="24"/>
        </w:rPr>
        <w:t>The Impact of Diverse Patronage on Renaissance Art (15th–18th Centuries)</w:t>
      </w:r>
    </w:p>
    <w:p w14:paraId="75437B95" w14:textId="5E8AC1B1" w:rsidR="006E324B" w:rsidRPr="006E324B" w:rsidRDefault="006E324B" w:rsidP="006E324B">
      <w:pPr>
        <w:spacing w:after="0" w:line="480" w:lineRule="auto"/>
        <w:rPr>
          <w:rFonts w:ascii="Times New Roman" w:hAnsi="Times New Roman" w:cs="Times New Roman"/>
          <w:b/>
          <w:bCs/>
        </w:rPr>
      </w:pPr>
      <w:r w:rsidRPr="006E324B">
        <w:rPr>
          <w:rFonts w:ascii="Times New Roman" w:hAnsi="Times New Roman" w:cs="Times New Roman"/>
          <w:b/>
          <w:bCs/>
        </w:rPr>
        <w:t>Introduction</w:t>
      </w:r>
    </w:p>
    <w:p w14:paraId="2727DEC5" w14:textId="50B9717C" w:rsidR="006E324B" w:rsidRPr="006E324B" w:rsidRDefault="006E324B" w:rsidP="006E324B">
      <w:pPr>
        <w:spacing w:after="0" w:line="480" w:lineRule="auto"/>
        <w:rPr>
          <w:rFonts w:ascii="Times New Roman" w:hAnsi="Times New Roman" w:cs="Times New Roman"/>
        </w:rPr>
      </w:pPr>
      <w:r w:rsidRPr="006E324B">
        <w:rPr>
          <w:rFonts w:ascii="Times New Roman" w:hAnsi="Times New Roman" w:cs="Times New Roman"/>
        </w:rPr>
        <w:t>The Renaissance era, spanning the 15th to 18th centuries, was characterized by profound transformations in society, science, and the arts. One of the pivotal changes during this period was the shift in patronage from exclusive church sponsorship to a broader array of patrons, including private families, governments, and secular groups. This expansion of patronage not only diversified the sources of artistic funding but also played a crucial role in shaping the trajectory of Western art, influencing both the themes explored by artists and the stylistic innovations that emerged.</w:t>
      </w:r>
    </w:p>
    <w:p w14:paraId="03CD220F" w14:textId="1CB70F54" w:rsidR="006E324B" w:rsidRPr="006E324B" w:rsidRDefault="006E324B" w:rsidP="006E324B">
      <w:pPr>
        <w:pStyle w:val="Heading2"/>
        <w:spacing w:before="0" w:after="0" w:line="480" w:lineRule="auto"/>
        <w:rPr>
          <w:rFonts w:ascii="Times New Roman" w:hAnsi="Times New Roman" w:cs="Times New Roman"/>
          <w:b/>
          <w:bCs/>
          <w:color w:val="000000" w:themeColor="text1"/>
          <w:sz w:val="24"/>
          <w:szCs w:val="24"/>
        </w:rPr>
      </w:pPr>
      <w:r w:rsidRPr="006E324B">
        <w:rPr>
          <w:rFonts w:ascii="Times New Roman" w:hAnsi="Times New Roman" w:cs="Times New Roman"/>
          <w:b/>
          <w:bCs/>
          <w:color w:val="000000" w:themeColor="text1"/>
          <w:sz w:val="24"/>
          <w:szCs w:val="24"/>
        </w:rPr>
        <w:t>Expansion of patronage: From church to secular entities</w:t>
      </w:r>
    </w:p>
    <w:p w14:paraId="71ED6552" w14:textId="16885FBE" w:rsidR="006E324B" w:rsidRPr="006E324B" w:rsidRDefault="006E324B" w:rsidP="006E324B">
      <w:pPr>
        <w:spacing w:after="0" w:line="480" w:lineRule="auto"/>
        <w:rPr>
          <w:rFonts w:ascii="Times New Roman" w:hAnsi="Times New Roman" w:cs="Times New Roman"/>
        </w:rPr>
      </w:pPr>
      <w:r w:rsidRPr="006E324B">
        <w:rPr>
          <w:rFonts w:ascii="Times New Roman" w:hAnsi="Times New Roman" w:cs="Times New Roman"/>
        </w:rPr>
        <w:t>During the medieval period, the Church was the predominant patron of the arts, commissioning works that served religious purposes and reinforced ecclesiastical authority. However, by the 15th century, the rise of wealthy merchant families, burgeoning city-states, and increasingly powerful secular governments introduced new patrons into the artistic landscape. This shift reflected broader social and economic changes</w:t>
      </w:r>
      <w:r>
        <w:rPr>
          <w:rFonts w:ascii="Times New Roman" w:hAnsi="Times New Roman" w:cs="Times New Roman"/>
        </w:rPr>
        <w:t xml:space="preserve">, </w:t>
      </w:r>
      <w:r w:rsidRPr="006E324B">
        <w:rPr>
          <w:rFonts w:ascii="Times New Roman" w:hAnsi="Times New Roman" w:cs="Times New Roman"/>
        </w:rPr>
        <w:t>particularly the growth of urban centers and the accumulation of private wealth</w:t>
      </w:r>
      <w:r>
        <w:rPr>
          <w:rFonts w:ascii="Times New Roman" w:hAnsi="Times New Roman" w:cs="Times New Roman"/>
        </w:rPr>
        <w:t xml:space="preserve">, </w:t>
      </w:r>
      <w:r w:rsidRPr="006E324B">
        <w:rPr>
          <w:rFonts w:ascii="Times New Roman" w:hAnsi="Times New Roman" w:cs="Times New Roman"/>
        </w:rPr>
        <w:t>which allowed non-religious entities to commission art for civic pride, personal legacy, and intellectual exploration (Ross, 2016).</w:t>
      </w:r>
    </w:p>
    <w:p w14:paraId="78BDA1BC" w14:textId="240E9544" w:rsidR="006E324B" w:rsidRPr="006E324B" w:rsidRDefault="006E324B" w:rsidP="006E324B">
      <w:pPr>
        <w:pStyle w:val="Heading2"/>
        <w:spacing w:before="0" w:after="0" w:line="480" w:lineRule="auto"/>
        <w:rPr>
          <w:rFonts w:ascii="Times New Roman" w:hAnsi="Times New Roman" w:cs="Times New Roman"/>
          <w:b/>
          <w:bCs/>
          <w:color w:val="000000" w:themeColor="text1"/>
          <w:sz w:val="24"/>
          <w:szCs w:val="24"/>
        </w:rPr>
      </w:pPr>
      <w:r w:rsidRPr="006E324B">
        <w:rPr>
          <w:rFonts w:ascii="Times New Roman" w:hAnsi="Times New Roman" w:cs="Times New Roman"/>
          <w:b/>
          <w:bCs/>
          <w:color w:val="000000" w:themeColor="text1"/>
          <w:sz w:val="24"/>
          <w:szCs w:val="24"/>
        </w:rPr>
        <w:t>Impact on artistic themes and styles</w:t>
      </w:r>
    </w:p>
    <w:p w14:paraId="571B9DD9" w14:textId="77777777" w:rsidR="006E324B" w:rsidRPr="006E324B" w:rsidRDefault="006E324B" w:rsidP="006E324B">
      <w:pPr>
        <w:spacing w:after="0" w:line="480" w:lineRule="auto"/>
        <w:rPr>
          <w:rFonts w:ascii="Times New Roman" w:hAnsi="Times New Roman" w:cs="Times New Roman"/>
        </w:rPr>
      </w:pPr>
      <w:r w:rsidRPr="006E324B">
        <w:rPr>
          <w:rFonts w:ascii="Times New Roman" w:hAnsi="Times New Roman" w:cs="Times New Roman"/>
        </w:rPr>
        <w:t xml:space="preserve">The diversification of patrons had a profound impact on the subjects, styles, and purposes of Renaissance art. While religious themes remained prevalent, secular commissions encouraged artists to experiment with classical mythology, portraiture, landscapes, and scenes of daily life. This new freedom fostered greater creativity and innovation, as artists were no longer bound solely to doctrinal narratives but could explore humanist ideas, individual identity, and worldly </w:t>
      </w:r>
      <w:r w:rsidRPr="006E324B">
        <w:rPr>
          <w:rFonts w:ascii="Times New Roman" w:hAnsi="Times New Roman" w:cs="Times New Roman"/>
        </w:rPr>
        <w:lastRenderedPageBreak/>
        <w:t>achievements. The result was a flourishing of artistic expression, with more dynamic compositions, realistic depictions, and complex psychological portrayals (Ross, 2016).</w:t>
      </w:r>
    </w:p>
    <w:p w14:paraId="44E217BF" w14:textId="16D55026" w:rsidR="006E324B" w:rsidRPr="006E324B" w:rsidRDefault="006E324B" w:rsidP="006E324B">
      <w:pPr>
        <w:pStyle w:val="Heading2"/>
        <w:spacing w:before="0" w:after="0" w:line="480" w:lineRule="auto"/>
        <w:rPr>
          <w:rFonts w:ascii="Times New Roman" w:hAnsi="Times New Roman" w:cs="Times New Roman"/>
          <w:b/>
          <w:bCs/>
          <w:color w:val="000000" w:themeColor="text1"/>
          <w:sz w:val="24"/>
          <w:szCs w:val="24"/>
        </w:rPr>
      </w:pPr>
      <w:r w:rsidRPr="006E324B">
        <w:rPr>
          <w:rFonts w:ascii="Times New Roman" w:hAnsi="Times New Roman" w:cs="Times New Roman"/>
          <w:b/>
          <w:bCs/>
          <w:color w:val="000000" w:themeColor="text1"/>
          <w:sz w:val="24"/>
          <w:szCs w:val="24"/>
        </w:rPr>
        <w:t>Examples of secular commissions</w:t>
      </w:r>
    </w:p>
    <w:p w14:paraId="34295A2E" w14:textId="77777777" w:rsidR="006E324B" w:rsidRPr="006E324B" w:rsidRDefault="006E324B" w:rsidP="006E324B">
      <w:pPr>
        <w:spacing w:after="0" w:line="480" w:lineRule="auto"/>
        <w:rPr>
          <w:rFonts w:ascii="Times New Roman" w:hAnsi="Times New Roman" w:cs="Times New Roman"/>
        </w:rPr>
      </w:pPr>
      <w:r w:rsidRPr="006E324B">
        <w:rPr>
          <w:rFonts w:ascii="Times New Roman" w:hAnsi="Times New Roman" w:cs="Times New Roman"/>
        </w:rPr>
        <w:t>Among the most influential patrons were the Medici family of Florence, whose extensive commissions to artists such as Sandro Botticelli, Leonardo da Vinci, and Michelangelo exemplified the power of private patronage. Lorenzo de’ Medici, in particular, supported works that blended classical learning with contemporary themes, such as Botticelli’s “Primavera” and “The Birth of Venus,” both of which depart from religious subject matter to embrace mythological narratives and humanist ideals (Ross, 2016).</w:t>
      </w:r>
    </w:p>
    <w:p w14:paraId="103D73E1" w14:textId="77777777" w:rsidR="006E324B" w:rsidRPr="006E324B" w:rsidRDefault="006E324B" w:rsidP="006E324B">
      <w:pPr>
        <w:spacing w:after="0" w:line="480" w:lineRule="auto"/>
        <w:rPr>
          <w:rFonts w:ascii="Times New Roman" w:hAnsi="Times New Roman" w:cs="Times New Roman"/>
        </w:rPr>
      </w:pPr>
      <w:r w:rsidRPr="006E324B">
        <w:rPr>
          <w:rFonts w:ascii="Times New Roman" w:hAnsi="Times New Roman" w:cs="Times New Roman"/>
        </w:rPr>
        <w:t>Secular governments also played a significant role in shaping Renaissance art. The Republic of Venice, for example, commissioned grand civic projects, including the decoration of the Doge’s Palace with allegorical and historical scenes by artists like Paolo Veronese and Tintoretto. These works celebrated civic virtues, historical achievements, and the city’s prosperity, reinforcing the identity and prestige of the state.</w:t>
      </w:r>
    </w:p>
    <w:p w14:paraId="3DE4DF42" w14:textId="77777777" w:rsidR="006E324B" w:rsidRPr="006E324B" w:rsidRDefault="006E324B" w:rsidP="006E324B">
      <w:pPr>
        <w:spacing w:after="0" w:line="480" w:lineRule="auto"/>
        <w:rPr>
          <w:rFonts w:ascii="Times New Roman" w:hAnsi="Times New Roman" w:cs="Times New Roman"/>
        </w:rPr>
      </w:pPr>
      <w:r w:rsidRPr="006E324B">
        <w:rPr>
          <w:rFonts w:ascii="Times New Roman" w:hAnsi="Times New Roman" w:cs="Times New Roman"/>
        </w:rPr>
        <w:t>Furthermore, secular groups such as guilds and confraternities sponsored altarpieces, public sculptures, and decorative cycles for communal spaces. These commissions often emphasized collective values, trade accomplishments, and social cohesion, as seen in the works created for the Florentine Guild of Wool Merchants and the Scuole Grandi of Venice (Ross, 2016).</w:t>
      </w:r>
    </w:p>
    <w:p w14:paraId="67B12370" w14:textId="031E9158" w:rsidR="006E324B" w:rsidRPr="006E324B" w:rsidRDefault="006E324B" w:rsidP="006E324B">
      <w:pPr>
        <w:pStyle w:val="Heading2"/>
        <w:spacing w:before="0" w:after="0" w:line="480" w:lineRule="auto"/>
        <w:rPr>
          <w:rFonts w:ascii="Times New Roman" w:hAnsi="Times New Roman" w:cs="Times New Roman"/>
          <w:b/>
          <w:bCs/>
          <w:color w:val="000000" w:themeColor="text1"/>
          <w:sz w:val="24"/>
          <w:szCs w:val="24"/>
        </w:rPr>
      </w:pPr>
      <w:r w:rsidRPr="006E324B">
        <w:rPr>
          <w:rFonts w:ascii="Times New Roman" w:hAnsi="Times New Roman" w:cs="Times New Roman"/>
          <w:b/>
          <w:bCs/>
          <w:color w:val="000000" w:themeColor="text1"/>
          <w:sz w:val="24"/>
          <w:szCs w:val="24"/>
        </w:rPr>
        <w:t>Conclusion</w:t>
      </w:r>
    </w:p>
    <w:p w14:paraId="1FD40049" w14:textId="6DC28CF7" w:rsidR="00597F69" w:rsidRPr="006E324B" w:rsidRDefault="006E324B" w:rsidP="006E324B">
      <w:pPr>
        <w:spacing w:after="0" w:line="480" w:lineRule="auto"/>
        <w:rPr>
          <w:rFonts w:ascii="Times New Roman" w:hAnsi="Times New Roman" w:cs="Times New Roman"/>
        </w:rPr>
      </w:pPr>
      <w:r w:rsidRPr="006E324B">
        <w:rPr>
          <w:rFonts w:ascii="Times New Roman" w:hAnsi="Times New Roman" w:cs="Times New Roman"/>
        </w:rPr>
        <w:t xml:space="preserve">The emergence of diverse patrons during the Renaissance fundamentally altered the course of Western art. The transition from exclusive ecclesiastical sponsorship to the inclusion of private, governmental, and secular group patrons fostered an environment of artistic innovation, thematic diversity, and stylistic advancement. These developments not only enriched the visual culture of </w:t>
      </w:r>
      <w:r w:rsidRPr="006E324B">
        <w:rPr>
          <w:rFonts w:ascii="Times New Roman" w:hAnsi="Times New Roman" w:cs="Times New Roman"/>
        </w:rPr>
        <w:lastRenderedPageBreak/>
        <w:t>the period but also laid the foundation for the pluralistic and dynamic nature of Western art in subsequent centuries</w:t>
      </w:r>
      <w:r>
        <w:rPr>
          <w:rFonts w:ascii="Times New Roman" w:hAnsi="Times New Roman" w:cs="Times New Roman"/>
        </w:rPr>
        <w:t>.</w:t>
      </w:r>
    </w:p>
    <w:p w14:paraId="368E66AF" w14:textId="602F0982" w:rsidR="008B2A40" w:rsidRPr="008B2A40" w:rsidRDefault="008B2A40" w:rsidP="008B2A40">
      <w:pPr>
        <w:shd w:val="clear" w:color="auto" w:fill="FFFFFF"/>
        <w:spacing w:after="0" w:line="480" w:lineRule="auto"/>
        <w:jc w:val="center"/>
        <w:rPr>
          <w:rFonts w:ascii="Times New Roman" w:eastAsia="Times New Roman" w:hAnsi="Times New Roman" w:cs="Times New Roman"/>
          <w:b/>
          <w:bCs/>
          <w:color w:val="000000"/>
          <w:kern w:val="0"/>
          <w14:ligatures w14:val="none"/>
        </w:rPr>
      </w:pPr>
      <w:r w:rsidRPr="008B2A40">
        <w:rPr>
          <w:rFonts w:ascii="Times New Roman" w:eastAsia="Times New Roman" w:hAnsi="Times New Roman" w:cs="Times New Roman"/>
          <w:b/>
          <w:bCs/>
          <w:color w:val="000000"/>
          <w:kern w:val="0"/>
          <w14:ligatures w14:val="none"/>
        </w:rPr>
        <w:t>Reference</w:t>
      </w:r>
    </w:p>
    <w:p w14:paraId="100622FD" w14:textId="5D2057B6" w:rsidR="008B2A40" w:rsidRPr="008B2A40" w:rsidRDefault="008B2A40" w:rsidP="008B2A40">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8B2A40">
        <w:rPr>
          <w:rFonts w:ascii="Times New Roman" w:eastAsia="Times New Roman" w:hAnsi="Times New Roman" w:cs="Times New Roman"/>
          <w:color w:val="000000"/>
          <w:kern w:val="0"/>
          <w14:ligatures w14:val="none"/>
        </w:rPr>
        <w:t>Ross N. (2016). </w:t>
      </w:r>
      <w:r w:rsidRPr="008B2A40">
        <w:rPr>
          <w:rFonts w:ascii="Times New Roman" w:eastAsia="Times New Roman" w:hAnsi="Times New Roman" w:cs="Times New Roman"/>
          <w:i/>
          <w:iCs/>
          <w:color w:val="000000"/>
          <w:kern w:val="0"/>
          <w14:ligatures w14:val="none"/>
        </w:rPr>
        <w:t>T</w:t>
      </w:r>
      <w:r w:rsidRPr="008B2A40">
        <w:rPr>
          <w:rFonts w:ascii="Times New Roman" w:eastAsia="Times New Roman" w:hAnsi="Times New Roman" w:cs="Times New Roman"/>
          <w:i/>
          <w:iCs/>
          <w:color w:val="000000"/>
          <w:kern w:val="0"/>
          <w14:ligatures w14:val="none"/>
        </w:rPr>
        <w:t>ice art 1010 renaissance art</w:t>
      </w:r>
      <w:r w:rsidRPr="008B2A40">
        <w:rPr>
          <w:rFonts w:ascii="Times New Roman" w:eastAsia="Times New Roman" w:hAnsi="Times New Roman" w:cs="Times New Roman"/>
          <w:color w:val="000000"/>
          <w:kern w:val="0"/>
          <w14:ligatures w14:val="none"/>
        </w:rPr>
        <w:t> </w:t>
      </w:r>
      <w:r w:rsidRPr="008B2A40">
        <w:rPr>
          <w:rFonts w:ascii="Times New Roman" w:eastAsia="Times New Roman" w:hAnsi="Times New Roman" w:cs="Times New Roman"/>
          <w:color w:val="000000"/>
          <w:kern w:val="0"/>
          <w14:ligatures w14:val="none"/>
        </w:rPr>
        <w:t>[Video]. YouTube. </w:t>
      </w:r>
      <w:hyperlink r:id="rId5" w:history="1">
        <w:r w:rsidRPr="008B2A40">
          <w:rPr>
            <w:rFonts w:ascii="Times New Roman" w:eastAsia="Times New Roman" w:hAnsi="Times New Roman" w:cs="Times New Roman"/>
            <w:color w:val="000000"/>
            <w:kern w:val="0"/>
            <w:u w:val="single"/>
            <w14:ligatures w14:val="none"/>
          </w:rPr>
          <w:t>https://www.youtube.com/watch?v=kzhuZmzoX5o&amp;t=579s</w:t>
        </w:r>
      </w:hyperlink>
    </w:p>
    <w:p w14:paraId="19343F35" w14:textId="77777777" w:rsidR="006E324B" w:rsidRPr="006E324B" w:rsidRDefault="006E324B">
      <w:pPr>
        <w:spacing w:after="0" w:line="480" w:lineRule="auto"/>
        <w:rPr>
          <w:rFonts w:ascii="Times New Roman" w:hAnsi="Times New Roman" w:cs="Times New Roman"/>
        </w:rPr>
      </w:pPr>
    </w:p>
    <w:p w14:paraId="584F436C" w14:textId="77777777" w:rsidR="00435E20" w:rsidRPr="006E324B" w:rsidRDefault="00435E20">
      <w:pPr>
        <w:spacing w:after="0" w:line="480" w:lineRule="auto"/>
        <w:rPr>
          <w:rFonts w:ascii="Times New Roman" w:hAnsi="Times New Roman" w:cs="Times New Roman"/>
        </w:rPr>
      </w:pPr>
    </w:p>
    <w:sectPr w:rsidR="00435E20" w:rsidRPr="006E3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A7511"/>
    <w:multiLevelType w:val="multilevel"/>
    <w:tmpl w:val="B1D6E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170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271"/>
    <w:rsid w:val="00435E20"/>
    <w:rsid w:val="00597F69"/>
    <w:rsid w:val="006E324B"/>
    <w:rsid w:val="00727271"/>
    <w:rsid w:val="008B2A40"/>
    <w:rsid w:val="00C96CE4"/>
    <w:rsid w:val="00F210AB"/>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C7E6701"/>
  <w15:chartTrackingRefBased/>
  <w15:docId w15:val="{FBDAD376-E4A3-0F4A-9C28-D9D44BFD8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271"/>
    <w:rPr>
      <w:rFonts w:eastAsiaTheme="majorEastAsia" w:cstheme="majorBidi"/>
      <w:color w:val="272727" w:themeColor="text1" w:themeTint="D8"/>
    </w:rPr>
  </w:style>
  <w:style w:type="paragraph" w:styleId="Title">
    <w:name w:val="Title"/>
    <w:basedOn w:val="Normal"/>
    <w:next w:val="Normal"/>
    <w:link w:val="TitleChar"/>
    <w:uiPriority w:val="10"/>
    <w:qFormat/>
    <w:rsid w:val="00727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271"/>
    <w:pPr>
      <w:spacing w:before="160"/>
      <w:jc w:val="center"/>
    </w:pPr>
    <w:rPr>
      <w:i/>
      <w:iCs/>
      <w:color w:val="404040" w:themeColor="text1" w:themeTint="BF"/>
    </w:rPr>
  </w:style>
  <w:style w:type="character" w:customStyle="1" w:styleId="QuoteChar">
    <w:name w:val="Quote Char"/>
    <w:basedOn w:val="DefaultParagraphFont"/>
    <w:link w:val="Quote"/>
    <w:uiPriority w:val="29"/>
    <w:rsid w:val="00727271"/>
    <w:rPr>
      <w:i/>
      <w:iCs/>
      <w:color w:val="404040" w:themeColor="text1" w:themeTint="BF"/>
    </w:rPr>
  </w:style>
  <w:style w:type="paragraph" w:styleId="ListParagraph">
    <w:name w:val="List Paragraph"/>
    <w:basedOn w:val="Normal"/>
    <w:uiPriority w:val="34"/>
    <w:qFormat/>
    <w:rsid w:val="00727271"/>
    <w:pPr>
      <w:ind w:left="720"/>
      <w:contextualSpacing/>
    </w:pPr>
  </w:style>
  <w:style w:type="character" w:styleId="IntenseEmphasis">
    <w:name w:val="Intense Emphasis"/>
    <w:basedOn w:val="DefaultParagraphFont"/>
    <w:uiPriority w:val="21"/>
    <w:qFormat/>
    <w:rsid w:val="00727271"/>
    <w:rPr>
      <w:i/>
      <w:iCs/>
      <w:color w:val="0F4761" w:themeColor="accent1" w:themeShade="BF"/>
    </w:rPr>
  </w:style>
  <w:style w:type="paragraph" w:styleId="IntenseQuote">
    <w:name w:val="Intense Quote"/>
    <w:basedOn w:val="Normal"/>
    <w:next w:val="Normal"/>
    <w:link w:val="IntenseQuoteChar"/>
    <w:uiPriority w:val="30"/>
    <w:qFormat/>
    <w:rsid w:val="00727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271"/>
    <w:rPr>
      <w:i/>
      <w:iCs/>
      <w:color w:val="0F4761" w:themeColor="accent1" w:themeShade="BF"/>
    </w:rPr>
  </w:style>
  <w:style w:type="character" w:styleId="IntenseReference">
    <w:name w:val="Intense Reference"/>
    <w:basedOn w:val="DefaultParagraphFont"/>
    <w:uiPriority w:val="32"/>
    <w:qFormat/>
    <w:rsid w:val="00727271"/>
    <w:rPr>
      <w:b/>
      <w:bCs/>
      <w:smallCaps/>
      <w:color w:val="0F4761" w:themeColor="accent1" w:themeShade="BF"/>
      <w:spacing w:val="5"/>
    </w:rPr>
  </w:style>
  <w:style w:type="paragraph" w:styleId="NormalWeb">
    <w:name w:val="Normal (Web)"/>
    <w:basedOn w:val="Normal"/>
    <w:uiPriority w:val="99"/>
    <w:semiHidden/>
    <w:unhideWhenUsed/>
    <w:rsid w:val="007272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7271"/>
    <w:rPr>
      <w:b/>
      <w:bCs/>
    </w:rPr>
  </w:style>
  <w:style w:type="character" w:styleId="Hyperlink">
    <w:name w:val="Hyperlink"/>
    <w:basedOn w:val="DefaultParagraphFont"/>
    <w:uiPriority w:val="99"/>
    <w:semiHidden/>
    <w:unhideWhenUsed/>
    <w:rsid w:val="00435E20"/>
    <w:rPr>
      <w:color w:val="0000FF"/>
      <w:u w:val="single"/>
    </w:rPr>
  </w:style>
  <w:style w:type="character" w:styleId="Emphasis">
    <w:name w:val="Emphasis"/>
    <w:basedOn w:val="DefaultParagraphFont"/>
    <w:uiPriority w:val="20"/>
    <w:qFormat/>
    <w:rsid w:val="008B2A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kzhuZmzoX5o&amp;t=579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2025-10-01T12:40:00Z</dcterms:created>
  <dcterms:modified xsi:type="dcterms:W3CDTF">2025-10-01T13:19:00Z</dcterms:modified>
</cp:coreProperties>
</file>