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005266" w:rsidRDefault="00BF72F5" w:rsidP="00AA583D">
      <w:pPr>
        <w:spacing w:after="0" w:line="480" w:lineRule="auto"/>
        <w:rPr>
          <w:rFonts w:ascii="Times New Roman" w:hAnsi="Times New Roman" w:cs="Times New Roman"/>
          <w:color w:val="000000" w:themeColor="text1"/>
          <w:lang w:val="en-US"/>
        </w:rPr>
      </w:pPr>
    </w:p>
    <w:p w14:paraId="3257DC61" w14:textId="77777777" w:rsidR="00BF72F5" w:rsidRPr="00005266" w:rsidRDefault="00BF72F5" w:rsidP="00AA583D">
      <w:pPr>
        <w:spacing w:after="0" w:line="480" w:lineRule="auto"/>
        <w:jc w:val="center"/>
        <w:rPr>
          <w:rFonts w:ascii="Times New Roman" w:hAnsi="Times New Roman" w:cs="Times New Roman"/>
          <w:color w:val="000000" w:themeColor="text1"/>
          <w:lang w:val="en-US"/>
        </w:rPr>
      </w:pPr>
    </w:p>
    <w:p w14:paraId="0CEE8603" w14:textId="77777777" w:rsidR="00BF72F5" w:rsidRPr="00005266" w:rsidRDefault="00BF72F5" w:rsidP="00AA583D">
      <w:pPr>
        <w:spacing w:after="0" w:line="480" w:lineRule="auto"/>
        <w:jc w:val="center"/>
        <w:rPr>
          <w:rFonts w:ascii="Times New Roman" w:hAnsi="Times New Roman" w:cs="Times New Roman"/>
          <w:color w:val="000000" w:themeColor="text1"/>
          <w:lang w:val="en-US"/>
        </w:rPr>
      </w:pPr>
    </w:p>
    <w:p w14:paraId="3D3EDEAF"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kern w:val="0"/>
          <w:lang w:val="en-US"/>
        </w:rPr>
      </w:pPr>
      <w:r w:rsidRPr="00121338">
        <w:rPr>
          <w:rFonts w:ascii="Times New Roman" w:hAnsi="Times New Roman" w:cs="Times New Roman"/>
          <w:color w:val="151515"/>
          <w:kern w:val="0"/>
          <w:position w:val="6"/>
          <w:lang w:val="en-US"/>
        </w:rPr>
        <w:t>Organizational Change in the Dangote Group: A Case Study</w:t>
      </w:r>
    </w:p>
    <w:p w14:paraId="758BCA56" w14:textId="77777777" w:rsidR="005F5283" w:rsidRPr="00005266" w:rsidRDefault="005F5283" w:rsidP="00AA583D">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Bachelor of Science</w:t>
      </w:r>
    </w:p>
    <w:p w14:paraId="379C22C5"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in</w:t>
      </w:r>
    </w:p>
    <w:p w14:paraId="7BEEB6EE"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Computer Science</w:t>
      </w:r>
    </w:p>
    <w:p w14:paraId="0FECC0B9"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61F4C989" w14:textId="07B84B34" w:rsidR="00F20AAD" w:rsidRPr="00005266" w:rsidRDefault="00F20AAD" w:rsidP="00AA583D">
      <w:pPr>
        <w:shd w:val="clear" w:color="auto" w:fill="FFFFFF"/>
        <w:spacing w:after="0" w:line="480" w:lineRule="auto"/>
        <w:jc w:val="center"/>
        <w:outlineLvl w:val="3"/>
        <w:rPr>
          <w:rFonts w:ascii="Times New Roman" w:eastAsia="Times New Roman" w:hAnsi="Times New Roman" w:cs="Times New Roman"/>
          <w:color w:val="000000" w:themeColor="text1"/>
          <w:kern w:val="0"/>
          <w14:ligatures w14:val="none"/>
        </w:rPr>
      </w:pPr>
      <w:r w:rsidRPr="00005266">
        <w:rPr>
          <w:rFonts w:ascii="Times New Roman" w:eastAsia="Times New Roman" w:hAnsi="Times New Roman" w:cs="Times New Roman"/>
          <w:color w:val="000000" w:themeColor="text1"/>
          <w:kern w:val="0"/>
          <w14:ligatures w14:val="none"/>
        </w:rPr>
        <w:t>BUS 1101: Principles of Business Management</w:t>
      </w:r>
    </w:p>
    <w:p w14:paraId="0453AA94" w14:textId="0325F77F"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 xml:space="preserve">Term </w:t>
      </w:r>
      <w:r w:rsidR="00B753E1" w:rsidRPr="00005266">
        <w:rPr>
          <w:rFonts w:ascii="Times New Roman" w:hAnsi="Times New Roman" w:cs="Times New Roman"/>
          <w:color w:val="000000" w:themeColor="text1"/>
          <w:sz w:val="24"/>
          <w:szCs w:val="24"/>
          <w:shd w:val="clear" w:color="auto" w:fill="FFFFFF"/>
        </w:rPr>
        <w:t>5</w:t>
      </w:r>
      <w:r w:rsidRPr="00005266">
        <w:rPr>
          <w:rFonts w:ascii="Times New Roman" w:hAnsi="Times New Roman" w:cs="Times New Roman"/>
          <w:b/>
          <w:bCs/>
          <w:color w:val="000000" w:themeColor="text1"/>
          <w:sz w:val="24"/>
          <w:szCs w:val="24"/>
          <w:shd w:val="clear" w:color="auto" w:fill="FFFFFF"/>
        </w:rPr>
        <w:t xml:space="preserve"> - </w:t>
      </w:r>
      <w:r w:rsidRPr="00005266">
        <w:rPr>
          <w:rFonts w:ascii="Times New Roman" w:hAnsi="Times New Roman" w:cs="Times New Roman"/>
          <w:color w:val="000000" w:themeColor="text1"/>
          <w:sz w:val="24"/>
          <w:szCs w:val="24"/>
          <w:shd w:val="clear" w:color="auto" w:fill="FFFFFF"/>
        </w:rPr>
        <w:t>2025</w:t>
      </w:r>
    </w:p>
    <w:p w14:paraId="18C3B5AD"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University of The People</w:t>
      </w:r>
    </w:p>
    <w:p w14:paraId="271D7362"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34C27BA4" w:rsidR="00BF72F5" w:rsidRPr="00005266" w:rsidRDefault="00121338" w:rsidP="00AA583D">
      <w:pPr>
        <w:spacing w:after="0" w:line="48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August 13</w:t>
      </w:r>
      <w:r w:rsidR="008105DA" w:rsidRPr="00005266">
        <w:rPr>
          <w:rFonts w:ascii="Times New Roman" w:hAnsi="Times New Roman" w:cs="Times New Roman"/>
          <w:color w:val="000000" w:themeColor="text1"/>
          <w:lang w:val="en-US"/>
        </w:rPr>
        <w:t>, 2025</w:t>
      </w:r>
    </w:p>
    <w:p w14:paraId="3C205330" w14:textId="77777777" w:rsidR="00121338" w:rsidRDefault="00121338" w:rsidP="00121338">
      <w:pPr>
        <w:pStyle w:val="NormalWeb"/>
        <w:spacing w:before="0" w:beforeAutospacing="0" w:after="0" w:afterAutospacing="0" w:line="480" w:lineRule="auto"/>
        <w:rPr>
          <w:b/>
          <w:bCs/>
          <w:color w:val="000000" w:themeColor="text1"/>
        </w:rPr>
      </w:pPr>
    </w:p>
    <w:p w14:paraId="639F2FD4"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640" w:lineRule="exact"/>
        <w:jc w:val="center"/>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lastRenderedPageBreak/>
        <w:t>Organizational Change in the Dangote Group: A Case Study</w:t>
      </w:r>
    </w:p>
    <w:p w14:paraId="6CFAD0B9"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exact"/>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t>Introduction</w:t>
      </w:r>
    </w:p>
    <w:p w14:paraId="6D263AF2"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In today’s dynamic business environment, organizations must adapt to external pressures and internal demands to remain competitive. Change can take many forms, including restructuring, cultural shifts, and the adoption of new technologies. One notable example of effective organizational change can be seen in the Dangote Group, Africa’s largest conglomerate. This organization has made significant strides in integrating sustainability into its supply chain management, showcasing a proactive approach to change. This essay will describe the change undertaken by the Dangote Group, its objectives, and how it was executed using Lewin’s Change Management Model. Furthermore, it will discuss the challenges faced during this process and evaluate the strategies employed to overcome them. Ultimately, the successful navigation of these changes serves as a benchmark for other organizations aiming for sustainable practices.</w:t>
      </w:r>
    </w:p>
    <w:p w14:paraId="6EB04BEC" w14:textId="091687D8"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exact"/>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t xml:space="preserve">Description of </w:t>
      </w:r>
      <w:r w:rsidRPr="00121338">
        <w:rPr>
          <w:rFonts w:ascii="Times New Roman" w:hAnsi="Times New Roman" w:cs="Times New Roman"/>
          <w:b/>
          <w:bCs/>
          <w:color w:val="151515"/>
          <w:kern w:val="0"/>
          <w:position w:val="6"/>
          <w:lang w:val="en-US"/>
        </w:rPr>
        <w:t>change and objectives</w:t>
      </w:r>
    </w:p>
    <w:p w14:paraId="7C5DA03B" w14:textId="224C88FE"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 xml:space="preserve">The Dangote Group has embraced a comprehensive transformation aimed at embedding sustainability throughout its supply chain operations. This change involves enhancing sourcing practices, optimizing production processes, and improving logistics to align with global environmental standards. The primary objectives of this change include minimizing the environmental impact of operations, fostering ethical sourcing, and promoting long-term supplier partnerships that emphasize sustainability (Matata, 2025). By prioritizing sustainable practices, Dangote aims not only to enhance its market position but also to set a precedent for other businesses in Africa to follow suit. This commitment to sustainability reflects an understanding that organizational success is intrinsically linked to environmental stewardship and social responsibility. Transitioning to an analysis of how this change was executed, the application of Lewin’s </w:t>
      </w:r>
      <w:r w:rsidR="00A2067F" w:rsidRPr="00121338">
        <w:rPr>
          <w:rFonts w:ascii="Times New Roman" w:hAnsi="Times New Roman" w:cs="Times New Roman"/>
          <w:color w:val="151515"/>
          <w:kern w:val="0"/>
          <w:position w:val="6"/>
          <w:lang w:val="en-US"/>
        </w:rPr>
        <w:t xml:space="preserve">change management model </w:t>
      </w:r>
      <w:r w:rsidRPr="00121338">
        <w:rPr>
          <w:rFonts w:ascii="Times New Roman" w:hAnsi="Times New Roman" w:cs="Times New Roman"/>
          <w:color w:val="151515"/>
          <w:kern w:val="0"/>
          <w:position w:val="6"/>
          <w:lang w:val="en-US"/>
        </w:rPr>
        <w:t>provides a structured framework for understanding the processes involved.</w:t>
      </w:r>
    </w:p>
    <w:p w14:paraId="2ED8EF3F" w14:textId="2B35B579"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exact"/>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t xml:space="preserve">Execution of </w:t>
      </w:r>
      <w:r w:rsidRPr="00121338">
        <w:rPr>
          <w:rFonts w:ascii="Times New Roman" w:hAnsi="Times New Roman" w:cs="Times New Roman"/>
          <w:b/>
          <w:bCs/>
          <w:color w:val="151515"/>
          <w:kern w:val="0"/>
          <w:position w:val="6"/>
          <w:lang w:val="en-US"/>
        </w:rPr>
        <w:t xml:space="preserve">change using </w:t>
      </w:r>
      <w:r w:rsidRPr="00121338">
        <w:rPr>
          <w:rFonts w:ascii="Times New Roman" w:hAnsi="Times New Roman" w:cs="Times New Roman"/>
          <w:b/>
          <w:bCs/>
          <w:color w:val="151515"/>
          <w:kern w:val="0"/>
          <w:position w:val="6"/>
          <w:lang w:val="en-US"/>
        </w:rPr>
        <w:t xml:space="preserve">Lewin’s </w:t>
      </w:r>
      <w:r>
        <w:rPr>
          <w:rFonts w:ascii="Times New Roman" w:hAnsi="Times New Roman" w:cs="Times New Roman"/>
          <w:b/>
          <w:bCs/>
          <w:color w:val="151515"/>
          <w:kern w:val="0"/>
          <w:position w:val="6"/>
          <w:lang w:val="en-US"/>
        </w:rPr>
        <w:t>m</w:t>
      </w:r>
      <w:r w:rsidRPr="00121338">
        <w:rPr>
          <w:rFonts w:ascii="Times New Roman" w:hAnsi="Times New Roman" w:cs="Times New Roman"/>
          <w:b/>
          <w:bCs/>
          <w:color w:val="151515"/>
          <w:kern w:val="0"/>
          <w:position w:val="6"/>
          <w:lang w:val="en-US"/>
        </w:rPr>
        <w:t>odel</w:t>
      </w:r>
    </w:p>
    <w:p w14:paraId="535F0872" w14:textId="6DD721BA"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 xml:space="preserve">Lewin’s </w:t>
      </w:r>
      <w:r w:rsidR="00A2067F" w:rsidRPr="00121338">
        <w:rPr>
          <w:rFonts w:ascii="Times New Roman" w:hAnsi="Times New Roman" w:cs="Times New Roman"/>
          <w:color w:val="151515"/>
          <w:kern w:val="0"/>
          <w:position w:val="6"/>
          <w:lang w:val="en-US"/>
        </w:rPr>
        <w:t xml:space="preserve">change management model </w:t>
      </w:r>
      <w:r w:rsidRPr="00121338">
        <w:rPr>
          <w:rFonts w:ascii="Times New Roman" w:hAnsi="Times New Roman" w:cs="Times New Roman"/>
          <w:color w:val="151515"/>
          <w:kern w:val="0"/>
          <w:position w:val="6"/>
          <w:lang w:val="en-US"/>
        </w:rPr>
        <w:t>outlines three key stages: unfreezing, changing, and refreezing (</w:t>
      </w:r>
      <w:proofErr w:type="spellStart"/>
      <w:r w:rsidRPr="00121338">
        <w:rPr>
          <w:rFonts w:ascii="Times New Roman" w:hAnsi="Times New Roman" w:cs="Times New Roman"/>
          <w:color w:val="151515"/>
          <w:kern w:val="0"/>
          <w:position w:val="6"/>
          <w:lang w:val="en-US"/>
        </w:rPr>
        <w:t>LibreTexts</w:t>
      </w:r>
      <w:proofErr w:type="spellEnd"/>
      <w:r w:rsidRPr="00121338">
        <w:rPr>
          <w:rFonts w:ascii="Times New Roman" w:hAnsi="Times New Roman" w:cs="Times New Roman"/>
          <w:color w:val="151515"/>
          <w:kern w:val="0"/>
          <w:position w:val="6"/>
          <w:lang w:val="en-US"/>
        </w:rPr>
        <w:t xml:space="preserve">, 2024). In the case of the Dangote Group, the unfreezing stage involved </w:t>
      </w:r>
      <w:r w:rsidRPr="00121338">
        <w:rPr>
          <w:rFonts w:ascii="Times New Roman" w:hAnsi="Times New Roman" w:cs="Times New Roman"/>
          <w:color w:val="151515"/>
          <w:kern w:val="0"/>
          <w:position w:val="6"/>
          <w:lang w:val="en-US"/>
        </w:rPr>
        <w:lastRenderedPageBreak/>
        <w:t>creating awareness among employees and stakeholders about the necessity for sustainability in the supply chain. Communication strategies included workshops and informational sessions that highlighted the benefits of sustainable practices. This step was crucial in preparing the organization for the impending changes, as it fostered a sense of urgency and commitment to sustainability initiatives.</w:t>
      </w:r>
    </w:p>
    <w:p w14:paraId="7FD3DEF8"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During the changing stage, Dangote executed its sustainability strategies by implementing energy-efficient technologies and establishing partnerships with suppliers who met sustainability criteria. This involved a rigorous evaluation of suppliers to ensure they adhered to environmental and ethical standards. The organization also invested in renewable energy sources and advanced manufacturing technologies that minimized resource use and waste, reflecting a comprehensive approach to operational change (Matata, 2025).</w:t>
      </w:r>
    </w:p>
    <w:p w14:paraId="7E1DBCF6"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Finally, the refreezing stage aimed to solidify these changes by integrating sustainability practices into the organizational culture. This was achieved through continuous training and development programs that reinforced the importance of sustainable practices among employees. By publicizing success stories and recognizing those who supported the change, Dangote ensured that the new sustainable practices became ingrained in the organizational framework.</w:t>
      </w:r>
    </w:p>
    <w:p w14:paraId="55E726B9" w14:textId="292AE172"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exact"/>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t xml:space="preserve">Significant </w:t>
      </w:r>
      <w:r w:rsidRPr="00121338">
        <w:rPr>
          <w:rFonts w:ascii="Times New Roman" w:hAnsi="Times New Roman" w:cs="Times New Roman"/>
          <w:b/>
          <w:bCs/>
          <w:color w:val="151515"/>
          <w:kern w:val="0"/>
          <w:position w:val="6"/>
          <w:lang w:val="en-US"/>
        </w:rPr>
        <w:t>challenges faced</w:t>
      </w:r>
    </w:p>
    <w:p w14:paraId="1FC55CB4"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Despite the structured approach to executing change, the Dangote Group faced significant challenges, particularly in overcoming employee resistance. Resistance often stems from disrupted habits and fear of the unknown, as employees may feel uncertain about their roles in a changing environment (</w:t>
      </w:r>
      <w:proofErr w:type="spellStart"/>
      <w:r w:rsidRPr="00121338">
        <w:rPr>
          <w:rFonts w:ascii="Times New Roman" w:hAnsi="Times New Roman" w:cs="Times New Roman"/>
          <w:color w:val="151515"/>
          <w:kern w:val="0"/>
          <w:position w:val="6"/>
          <w:lang w:val="en-US"/>
        </w:rPr>
        <w:t>LibreTexts</w:t>
      </w:r>
      <w:proofErr w:type="spellEnd"/>
      <w:r w:rsidRPr="00121338">
        <w:rPr>
          <w:rFonts w:ascii="Times New Roman" w:hAnsi="Times New Roman" w:cs="Times New Roman"/>
          <w:color w:val="151515"/>
          <w:kern w:val="0"/>
          <w:position w:val="6"/>
          <w:lang w:val="en-US"/>
        </w:rPr>
        <w:t>, 2024). In the case of Dangote, some employees were initially skeptical about the sustainability initiatives, perceiving them as additional burdens rather than opportunities for improvement. This challenge was exacerbated by a lack of familiarity with the new technologies and processes being introduced.</w:t>
      </w:r>
    </w:p>
    <w:p w14:paraId="71822288" w14:textId="3BD6FDB9"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exact"/>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t xml:space="preserve">Strategies to </w:t>
      </w:r>
      <w:r w:rsidRPr="00121338">
        <w:rPr>
          <w:rFonts w:ascii="Times New Roman" w:hAnsi="Times New Roman" w:cs="Times New Roman"/>
          <w:b/>
          <w:bCs/>
          <w:color w:val="151515"/>
          <w:kern w:val="0"/>
          <w:position w:val="6"/>
          <w:lang w:val="en-US"/>
        </w:rPr>
        <w:t>overcome challenges</w:t>
      </w:r>
    </w:p>
    <w:p w14:paraId="28739DA4" w14:textId="323C0EB9"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121338">
        <w:rPr>
          <w:rFonts w:ascii="Times New Roman" w:hAnsi="Times New Roman" w:cs="Times New Roman"/>
          <w:color w:val="151515"/>
          <w:kern w:val="0"/>
          <w:position w:val="6"/>
          <w:lang w:val="en-US"/>
        </w:rPr>
        <w:t xml:space="preserve">To successfully navigate this challenge, the Dangote Group implemented several strategies. Firstly, the organization focused on effective communication to address employee concerns and clarify the benefits of the proposed changes. Providing consistent updates and involving employees in the change process helped to foster a sense of ownership and commitment. </w:t>
      </w:r>
      <w:r w:rsidRPr="00121338">
        <w:rPr>
          <w:rFonts w:ascii="Times New Roman" w:hAnsi="Times New Roman" w:cs="Times New Roman"/>
          <w:color w:val="151515"/>
          <w:kern w:val="0"/>
          <w:position w:val="6"/>
          <w:lang w:val="en-US"/>
        </w:rPr>
        <w:lastRenderedPageBreak/>
        <w:t>Additionally, training programs were essential in equipping employees with the necessary skills to adapt to new technologies, thereby reducing anxiety related to performance under the new system</w:t>
      </w:r>
      <w:r w:rsidR="006344B2">
        <w:rPr>
          <w:rFonts w:ascii="Times New Roman" w:hAnsi="Times New Roman" w:cs="Times New Roman"/>
          <w:color w:val="151515"/>
          <w:kern w:val="0"/>
          <w:position w:val="6"/>
          <w:lang w:val="en-US"/>
        </w:rPr>
        <w:t xml:space="preserve">. </w:t>
      </w:r>
      <w:r w:rsidRPr="00121338">
        <w:rPr>
          <w:rFonts w:ascii="Times New Roman" w:hAnsi="Times New Roman" w:cs="Times New Roman"/>
          <w:color w:val="151515"/>
          <w:kern w:val="0"/>
          <w:position w:val="6"/>
          <w:lang w:val="en-US"/>
        </w:rPr>
        <w:t>By actively engaging employees and addressing their fears, Dangote was able to mitigate resistance and promote a culture of collaboration and adaptability.</w:t>
      </w:r>
    </w:p>
    <w:p w14:paraId="76735525" w14:textId="77777777" w:rsidR="00121338" w:rsidRPr="00121338" w:rsidRDefault="00121338" w:rsidP="001213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exact"/>
        <w:rPr>
          <w:rFonts w:ascii="Times New Roman" w:hAnsi="Times New Roman" w:cs="Times New Roman"/>
          <w:kern w:val="0"/>
          <w:lang w:val="en-US"/>
        </w:rPr>
      </w:pPr>
      <w:r w:rsidRPr="00121338">
        <w:rPr>
          <w:rFonts w:ascii="Times New Roman" w:hAnsi="Times New Roman" w:cs="Times New Roman"/>
          <w:b/>
          <w:bCs/>
          <w:color w:val="151515"/>
          <w:kern w:val="0"/>
          <w:position w:val="6"/>
          <w:lang w:val="en-US"/>
        </w:rPr>
        <w:t>Conclusion</w:t>
      </w:r>
    </w:p>
    <w:p w14:paraId="6BFFB013" w14:textId="4E5C301A" w:rsidR="00121338" w:rsidRDefault="00121338" w:rsidP="00121338">
      <w:pPr>
        <w:pStyle w:val="NormalWeb"/>
        <w:spacing w:before="0" w:beforeAutospacing="0" w:after="0" w:afterAutospacing="0" w:line="480" w:lineRule="auto"/>
        <w:rPr>
          <w:color w:val="151515"/>
          <w:position w:val="6"/>
          <w:lang w:val="en-US"/>
        </w:rPr>
      </w:pPr>
      <w:r w:rsidRPr="00121338">
        <w:rPr>
          <w:color w:val="151515"/>
          <w:position w:val="6"/>
          <w:lang w:val="en-US"/>
        </w:rPr>
        <w:t xml:space="preserve">The Dangote Group’s commitment to embedding sustainability into its operations exemplifies a successful case of organizational change. By utilizing Lewin’s </w:t>
      </w:r>
      <w:r w:rsidR="006344B2" w:rsidRPr="00121338">
        <w:rPr>
          <w:color w:val="151515"/>
          <w:position w:val="6"/>
          <w:lang w:val="en-US"/>
        </w:rPr>
        <w:t>change management model</w:t>
      </w:r>
      <w:r w:rsidRPr="00121338">
        <w:rPr>
          <w:color w:val="151515"/>
          <w:position w:val="6"/>
          <w:lang w:val="en-US"/>
        </w:rPr>
        <w:t xml:space="preserve">, the organization effectively navigated the stages of unfreezing, changing, and refreezing to implement sustainable practices. While the challenge of employee resistance presented a significant hurdle, the strategies employed to foster communication and provide training ultimately led to a successful integration of these changes. This case serves as a valuable lesson for other organizations seeking to embrace change and highlights the importance of a structured approach in managing the complexities of organizational transformation. By prioritizing sustainability, the Dangote Group not only enhances its competitive edge but also contributes to a more sustainable future for the </w:t>
      </w:r>
      <w:r w:rsidRPr="00121338">
        <w:rPr>
          <w:color w:val="151515"/>
          <w:position w:val="6"/>
          <w:lang w:val="en-US"/>
        </w:rPr>
        <w:t>industry</w:t>
      </w:r>
      <w:r w:rsidRPr="00121338">
        <w:rPr>
          <w:color w:val="151515"/>
          <w:position w:val="6"/>
          <w:lang w:val="en-US"/>
        </w:rPr>
        <w:t>.</w:t>
      </w:r>
    </w:p>
    <w:p w14:paraId="758731CA" w14:textId="77777777" w:rsidR="00121338" w:rsidRDefault="00121338" w:rsidP="00121338">
      <w:pPr>
        <w:pStyle w:val="NormalWeb"/>
        <w:spacing w:before="0" w:beforeAutospacing="0" w:after="0" w:afterAutospacing="0" w:line="480" w:lineRule="auto"/>
        <w:rPr>
          <w:color w:val="151515"/>
          <w:position w:val="6"/>
          <w:lang w:val="en-US"/>
        </w:rPr>
      </w:pPr>
    </w:p>
    <w:p w14:paraId="082A3BBF" w14:textId="77777777" w:rsidR="00121338" w:rsidRDefault="00121338" w:rsidP="00121338">
      <w:pPr>
        <w:pStyle w:val="NormalWeb"/>
        <w:spacing w:before="0" w:beforeAutospacing="0" w:after="0" w:afterAutospacing="0" w:line="480" w:lineRule="auto"/>
        <w:rPr>
          <w:color w:val="151515"/>
          <w:position w:val="6"/>
          <w:lang w:val="en-US"/>
        </w:rPr>
      </w:pPr>
    </w:p>
    <w:p w14:paraId="38EE579E" w14:textId="77777777" w:rsidR="00121338" w:rsidRDefault="00121338" w:rsidP="00121338">
      <w:pPr>
        <w:pStyle w:val="NormalWeb"/>
        <w:spacing w:before="0" w:beforeAutospacing="0" w:after="0" w:afterAutospacing="0" w:line="480" w:lineRule="auto"/>
        <w:rPr>
          <w:color w:val="151515"/>
          <w:position w:val="6"/>
          <w:lang w:val="en-US"/>
        </w:rPr>
      </w:pPr>
    </w:p>
    <w:p w14:paraId="77465E5F" w14:textId="77777777" w:rsidR="00121338" w:rsidRDefault="00121338" w:rsidP="00121338">
      <w:pPr>
        <w:pStyle w:val="NormalWeb"/>
        <w:spacing w:before="0" w:beforeAutospacing="0" w:after="0" w:afterAutospacing="0" w:line="480" w:lineRule="auto"/>
        <w:rPr>
          <w:color w:val="151515"/>
          <w:position w:val="6"/>
          <w:lang w:val="en-US"/>
        </w:rPr>
      </w:pPr>
    </w:p>
    <w:p w14:paraId="37A6DA2A" w14:textId="77777777" w:rsidR="00121338" w:rsidRDefault="00121338" w:rsidP="00121338">
      <w:pPr>
        <w:pStyle w:val="NormalWeb"/>
        <w:spacing w:before="0" w:beforeAutospacing="0" w:after="0" w:afterAutospacing="0" w:line="480" w:lineRule="auto"/>
        <w:rPr>
          <w:color w:val="151515"/>
          <w:position w:val="6"/>
          <w:lang w:val="en-US"/>
        </w:rPr>
      </w:pPr>
    </w:p>
    <w:p w14:paraId="07E6B915" w14:textId="77777777" w:rsidR="00121338" w:rsidRDefault="00121338" w:rsidP="00121338">
      <w:pPr>
        <w:pStyle w:val="NormalWeb"/>
        <w:spacing w:before="0" w:beforeAutospacing="0" w:after="0" w:afterAutospacing="0" w:line="480" w:lineRule="auto"/>
        <w:rPr>
          <w:color w:val="151515"/>
          <w:position w:val="6"/>
          <w:lang w:val="en-US"/>
        </w:rPr>
      </w:pPr>
    </w:p>
    <w:p w14:paraId="5DF85A22" w14:textId="77777777" w:rsidR="00121338" w:rsidRDefault="00121338" w:rsidP="00121338">
      <w:pPr>
        <w:pStyle w:val="NormalWeb"/>
        <w:spacing w:before="0" w:beforeAutospacing="0" w:after="0" w:afterAutospacing="0" w:line="480" w:lineRule="auto"/>
        <w:rPr>
          <w:color w:val="151515"/>
          <w:position w:val="6"/>
          <w:lang w:val="en-US"/>
        </w:rPr>
      </w:pPr>
    </w:p>
    <w:p w14:paraId="629401DE" w14:textId="77777777" w:rsidR="00121338" w:rsidRDefault="00121338" w:rsidP="00121338">
      <w:pPr>
        <w:pStyle w:val="NormalWeb"/>
        <w:spacing w:before="0" w:beforeAutospacing="0" w:after="0" w:afterAutospacing="0" w:line="480" w:lineRule="auto"/>
        <w:rPr>
          <w:color w:val="151515"/>
          <w:position w:val="6"/>
          <w:lang w:val="en-US"/>
        </w:rPr>
      </w:pPr>
    </w:p>
    <w:p w14:paraId="40F511AA" w14:textId="77777777" w:rsidR="00121338" w:rsidRPr="00121338" w:rsidRDefault="00121338" w:rsidP="00121338">
      <w:pPr>
        <w:pStyle w:val="NormalWeb"/>
        <w:spacing w:before="0" w:beforeAutospacing="0" w:after="0" w:afterAutospacing="0" w:line="480" w:lineRule="auto"/>
        <w:rPr>
          <w:b/>
          <w:bCs/>
          <w:color w:val="000000" w:themeColor="text1"/>
        </w:rPr>
      </w:pPr>
    </w:p>
    <w:p w14:paraId="5669C00E" w14:textId="3F243B32" w:rsidR="00400F8C" w:rsidRPr="00405E64" w:rsidRDefault="00400F8C" w:rsidP="00005266">
      <w:pPr>
        <w:pStyle w:val="NormalWeb"/>
        <w:spacing w:before="0" w:beforeAutospacing="0" w:after="0" w:afterAutospacing="0" w:line="480" w:lineRule="auto"/>
        <w:jc w:val="center"/>
        <w:rPr>
          <w:b/>
          <w:bCs/>
          <w:color w:val="000000" w:themeColor="text1"/>
        </w:rPr>
      </w:pPr>
      <w:r w:rsidRPr="00405E64">
        <w:rPr>
          <w:b/>
          <w:bCs/>
          <w:color w:val="000000" w:themeColor="text1"/>
        </w:rPr>
        <w:lastRenderedPageBreak/>
        <w:t>References</w:t>
      </w:r>
    </w:p>
    <w:p w14:paraId="2455CB70" w14:textId="74BDE983" w:rsidR="00400F8C" w:rsidRPr="00121338" w:rsidRDefault="00400F8C" w:rsidP="00AA583D">
      <w:pPr>
        <w:pStyle w:val="NormalWeb"/>
        <w:shd w:val="clear" w:color="auto" w:fill="FFFFFF"/>
        <w:spacing w:before="0" w:beforeAutospacing="0" w:after="0" w:afterAutospacing="0" w:line="480" w:lineRule="auto"/>
        <w:ind w:left="720" w:right="75" w:hanging="720"/>
      </w:pPr>
      <w:r w:rsidRPr="00121338">
        <w:rPr>
          <w:color w:val="000000" w:themeColor="text1"/>
          <w:shd w:val="clear" w:color="auto" w:fill="FFFFFF"/>
        </w:rPr>
        <w:t>LibreTexts. (2024). </w:t>
      </w:r>
      <w:r w:rsidR="00121338" w:rsidRPr="00121338">
        <w:rPr>
          <w:color w:val="000000" w:themeColor="text1"/>
          <w:shd w:val="clear" w:color="auto" w:fill="FFFFFF"/>
        </w:rPr>
        <w:t xml:space="preserve">Organizational </w:t>
      </w:r>
      <w:r w:rsidR="00121338" w:rsidRPr="00121338">
        <w:rPr>
          <w:color w:val="000000" w:themeColor="text1"/>
          <w:shd w:val="clear" w:color="auto" w:fill="FFFFFF"/>
        </w:rPr>
        <w:t>structure and change</w:t>
      </w:r>
      <w:r w:rsidR="00121338">
        <w:rPr>
          <w:color w:val="000000" w:themeColor="text1"/>
          <w:shd w:val="clear" w:color="auto" w:fill="FFFFFF"/>
        </w:rPr>
        <w:t xml:space="preserve">. In </w:t>
      </w:r>
      <w:r w:rsidRPr="00121338">
        <w:rPr>
          <w:rStyle w:val="Emphasis"/>
          <w:rFonts w:eastAsiaTheme="majorEastAsia"/>
          <w:color w:val="000000" w:themeColor="text1"/>
          <w:shd w:val="clear" w:color="auto" w:fill="FFFFFF"/>
        </w:rPr>
        <w:t>Principles of Management.</w:t>
      </w:r>
      <w:r w:rsidRPr="00121338">
        <w:rPr>
          <w:color w:val="000000" w:themeColor="text1"/>
          <w:shd w:val="clear" w:color="auto" w:fill="FFFFFF"/>
        </w:rPr>
        <w:t> Open Education Resource LibreTexts Project. Licensed under </w:t>
      </w:r>
      <w:hyperlink r:id="rId7" w:history="1">
        <w:r w:rsidRPr="00121338">
          <w:rPr>
            <w:rStyle w:val="Hyperlink"/>
            <w:rFonts w:eastAsiaTheme="majorEastAsia"/>
            <w:color w:val="000000" w:themeColor="text1"/>
            <w:shd w:val="clear" w:color="auto" w:fill="FFFFFF"/>
          </w:rPr>
          <w:t>CC BY-NC-SA 3.0</w:t>
        </w:r>
      </w:hyperlink>
      <w:r w:rsidRPr="00121338">
        <w:rPr>
          <w:color w:val="000000" w:themeColor="text1"/>
          <w:shd w:val="clear" w:color="auto" w:fill="FFFFFF"/>
        </w:rPr>
        <w:t>. </w:t>
      </w:r>
      <w:hyperlink r:id="rId8" w:tgtFrame="_blank" w:history="1">
        <w:r w:rsidRPr="00121338">
          <w:rPr>
            <w:rStyle w:val="Hyperlink"/>
            <w:rFonts w:eastAsiaTheme="majorEastAsia"/>
            <w:color w:val="000000" w:themeColor="text1"/>
            <w:shd w:val="clear" w:color="auto" w:fill="FFFFFF"/>
          </w:rPr>
          <w:t>https://biz.libretexts.org/Bookshelves/Management/Principles_of_Management</w:t>
        </w:r>
      </w:hyperlink>
    </w:p>
    <w:p w14:paraId="2D4CBE08" w14:textId="02B94B56" w:rsidR="00121338" w:rsidRPr="00121338" w:rsidRDefault="00121338" w:rsidP="00AA583D">
      <w:pPr>
        <w:pStyle w:val="NormalWeb"/>
        <w:shd w:val="clear" w:color="auto" w:fill="FFFFFF"/>
        <w:spacing w:before="0" w:beforeAutospacing="0" w:after="0" w:afterAutospacing="0" w:line="480" w:lineRule="auto"/>
        <w:ind w:left="720" w:right="75" w:hanging="720"/>
        <w:rPr>
          <w:color w:val="000000" w:themeColor="text1"/>
        </w:rPr>
      </w:pPr>
      <w:r w:rsidRPr="00121338">
        <w:rPr>
          <w:color w:val="000000"/>
          <w:shd w:val="clear" w:color="auto" w:fill="FFFFFF"/>
        </w:rPr>
        <w:t>Matata L. (2025, January 28). </w:t>
      </w:r>
      <w:r w:rsidRPr="00121338">
        <w:rPr>
          <w:rStyle w:val="Emphasis"/>
          <w:rFonts w:eastAsiaTheme="majorEastAsia"/>
          <w:color w:val="000000"/>
          <w:shd w:val="clear" w:color="auto" w:fill="FFFFFF"/>
        </w:rPr>
        <w:t>Dangote group's approach to sustainable supply chains</w:t>
      </w:r>
      <w:r w:rsidRPr="00121338">
        <w:rPr>
          <w:color w:val="000000"/>
          <w:shd w:val="clear" w:color="auto" w:fill="FFFFFF"/>
        </w:rPr>
        <w:t>. Africa Sustainability Matters. </w:t>
      </w:r>
      <w:hyperlink r:id="rId9" w:history="1">
        <w:r w:rsidRPr="00121338">
          <w:rPr>
            <w:rStyle w:val="Hyperlink"/>
            <w:rFonts w:eastAsiaTheme="majorEastAsia"/>
            <w:color w:val="000000"/>
            <w:shd w:val="clear" w:color="auto" w:fill="FFFFFF"/>
          </w:rPr>
          <w:t>https://africasustainabilitymatters.com/dangote-groups-approach-to-sustainable-supply-chains/</w:t>
        </w:r>
      </w:hyperlink>
    </w:p>
    <w:p w14:paraId="5651973F" w14:textId="77777777" w:rsidR="00400F8C" w:rsidRPr="00005266" w:rsidRDefault="00400F8C" w:rsidP="00AA583D">
      <w:pPr>
        <w:pStyle w:val="NormalWeb"/>
        <w:spacing w:before="0" w:beforeAutospacing="0" w:after="0" w:afterAutospacing="0" w:line="480" w:lineRule="auto"/>
        <w:rPr>
          <w:color w:val="000000" w:themeColor="text1"/>
        </w:rPr>
      </w:pPr>
    </w:p>
    <w:sectPr w:rsidR="00400F8C" w:rsidRPr="00005266">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A2CE" w14:textId="77777777" w:rsidR="00181D3E" w:rsidRDefault="00181D3E" w:rsidP="00F653AB">
      <w:pPr>
        <w:spacing w:after="0" w:line="240" w:lineRule="auto"/>
      </w:pPr>
      <w:r>
        <w:separator/>
      </w:r>
    </w:p>
  </w:endnote>
  <w:endnote w:type="continuationSeparator" w:id="0">
    <w:p w14:paraId="788BD1F1" w14:textId="77777777" w:rsidR="00181D3E" w:rsidRDefault="00181D3E"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9486" w14:textId="77777777" w:rsidR="00181D3E" w:rsidRDefault="00181D3E" w:rsidP="00F653AB">
      <w:pPr>
        <w:spacing w:after="0" w:line="240" w:lineRule="auto"/>
      </w:pPr>
      <w:r>
        <w:separator/>
      </w:r>
    </w:p>
  </w:footnote>
  <w:footnote w:type="continuationSeparator" w:id="0">
    <w:p w14:paraId="0C689CFD" w14:textId="77777777" w:rsidR="00181D3E" w:rsidRDefault="00181D3E"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3298"/>
    <w:multiLevelType w:val="hybridMultilevel"/>
    <w:tmpl w:val="786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E1B37"/>
    <w:multiLevelType w:val="multilevel"/>
    <w:tmpl w:val="70E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A656C"/>
    <w:multiLevelType w:val="hybridMultilevel"/>
    <w:tmpl w:val="4772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3259"/>
    <w:multiLevelType w:val="hybridMultilevel"/>
    <w:tmpl w:val="913A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3A4"/>
    <w:multiLevelType w:val="hybridMultilevel"/>
    <w:tmpl w:val="B934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32EE"/>
    <w:multiLevelType w:val="hybridMultilevel"/>
    <w:tmpl w:val="1BD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56E2D"/>
    <w:multiLevelType w:val="hybridMultilevel"/>
    <w:tmpl w:val="1266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0564"/>
    <w:multiLevelType w:val="hybridMultilevel"/>
    <w:tmpl w:val="FC02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9221A"/>
    <w:multiLevelType w:val="multilevel"/>
    <w:tmpl w:val="FD8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2FB"/>
    <w:multiLevelType w:val="multilevel"/>
    <w:tmpl w:val="926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82CF9"/>
    <w:multiLevelType w:val="hybridMultilevel"/>
    <w:tmpl w:val="2B9C8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0DE9"/>
    <w:multiLevelType w:val="multilevel"/>
    <w:tmpl w:val="A48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27F09"/>
    <w:multiLevelType w:val="multilevel"/>
    <w:tmpl w:val="9A6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42ABB"/>
    <w:multiLevelType w:val="hybridMultilevel"/>
    <w:tmpl w:val="E6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E53C5"/>
    <w:multiLevelType w:val="multilevel"/>
    <w:tmpl w:val="F11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341B7"/>
    <w:multiLevelType w:val="multilevel"/>
    <w:tmpl w:val="AE72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919DF"/>
    <w:multiLevelType w:val="hybridMultilevel"/>
    <w:tmpl w:val="52A8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22"/>
  </w:num>
  <w:num w:numId="3" w16cid:durableId="1127045952">
    <w:abstractNumId w:val="20"/>
  </w:num>
  <w:num w:numId="4" w16cid:durableId="1687251355">
    <w:abstractNumId w:val="9"/>
  </w:num>
  <w:num w:numId="5" w16cid:durableId="1555502318">
    <w:abstractNumId w:val="27"/>
  </w:num>
  <w:num w:numId="6" w16cid:durableId="196821722">
    <w:abstractNumId w:val="6"/>
  </w:num>
  <w:num w:numId="7" w16cid:durableId="60569682">
    <w:abstractNumId w:val="35"/>
  </w:num>
  <w:num w:numId="8" w16cid:durableId="422338041">
    <w:abstractNumId w:val="38"/>
  </w:num>
  <w:num w:numId="9" w16cid:durableId="694162140">
    <w:abstractNumId w:val="28"/>
  </w:num>
  <w:num w:numId="10" w16cid:durableId="1619214663">
    <w:abstractNumId w:val="36"/>
  </w:num>
  <w:num w:numId="11" w16cid:durableId="1144195262">
    <w:abstractNumId w:val="1"/>
  </w:num>
  <w:num w:numId="12" w16cid:durableId="1762868855">
    <w:abstractNumId w:val="0"/>
  </w:num>
  <w:num w:numId="13" w16cid:durableId="1661231383">
    <w:abstractNumId w:val="37"/>
  </w:num>
  <w:num w:numId="14" w16cid:durableId="662666379">
    <w:abstractNumId w:val="2"/>
  </w:num>
  <w:num w:numId="15" w16cid:durableId="1363017851">
    <w:abstractNumId w:val="15"/>
  </w:num>
  <w:num w:numId="16" w16cid:durableId="885992369">
    <w:abstractNumId w:val="7"/>
  </w:num>
  <w:num w:numId="17" w16cid:durableId="436096816">
    <w:abstractNumId w:val="29"/>
  </w:num>
  <w:num w:numId="18" w16cid:durableId="170416145">
    <w:abstractNumId w:val="24"/>
  </w:num>
  <w:num w:numId="19" w16cid:durableId="1162889315">
    <w:abstractNumId w:val="12"/>
  </w:num>
  <w:num w:numId="20" w16cid:durableId="67503751">
    <w:abstractNumId w:val="25"/>
  </w:num>
  <w:num w:numId="21" w16cid:durableId="1032002742">
    <w:abstractNumId w:val="10"/>
  </w:num>
  <w:num w:numId="22" w16cid:durableId="1197429886">
    <w:abstractNumId w:val="39"/>
  </w:num>
  <w:num w:numId="23" w16cid:durableId="1287586459">
    <w:abstractNumId w:val="13"/>
  </w:num>
  <w:num w:numId="24" w16cid:durableId="430442968">
    <w:abstractNumId w:val="32"/>
  </w:num>
  <w:num w:numId="25" w16cid:durableId="801849809">
    <w:abstractNumId w:val="8"/>
  </w:num>
  <w:num w:numId="26" w16cid:durableId="1913732174">
    <w:abstractNumId w:val="14"/>
  </w:num>
  <w:num w:numId="27" w16cid:durableId="1033727049">
    <w:abstractNumId w:val="34"/>
  </w:num>
  <w:num w:numId="28" w16cid:durableId="260453776">
    <w:abstractNumId w:val="5"/>
  </w:num>
  <w:num w:numId="29" w16cid:durableId="1022248789">
    <w:abstractNumId w:val="18"/>
  </w:num>
  <w:num w:numId="30" w16cid:durableId="1000545942">
    <w:abstractNumId w:val="3"/>
  </w:num>
  <w:num w:numId="31" w16cid:durableId="1456019581">
    <w:abstractNumId w:val="33"/>
  </w:num>
  <w:num w:numId="32" w16cid:durableId="533421556">
    <w:abstractNumId w:val="19"/>
  </w:num>
  <w:num w:numId="33" w16cid:durableId="840387249">
    <w:abstractNumId w:val="30"/>
  </w:num>
  <w:num w:numId="34" w16cid:durableId="1009529522">
    <w:abstractNumId w:val="4"/>
  </w:num>
  <w:num w:numId="35" w16cid:durableId="916397500">
    <w:abstractNumId w:val="26"/>
  </w:num>
  <w:num w:numId="36" w16cid:durableId="1728646045">
    <w:abstractNumId w:val="16"/>
  </w:num>
  <w:num w:numId="37" w16cid:durableId="2088769899">
    <w:abstractNumId w:val="31"/>
  </w:num>
  <w:num w:numId="38" w16cid:durableId="1080103841">
    <w:abstractNumId w:val="11"/>
  </w:num>
  <w:num w:numId="39" w16cid:durableId="781653288">
    <w:abstractNumId w:val="21"/>
  </w:num>
  <w:num w:numId="40" w16cid:durableId="7124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05266"/>
    <w:rsid w:val="0002684D"/>
    <w:rsid w:val="00037765"/>
    <w:rsid w:val="000719CC"/>
    <w:rsid w:val="00075ACD"/>
    <w:rsid w:val="000846DF"/>
    <w:rsid w:val="00094D35"/>
    <w:rsid w:val="000B04AB"/>
    <w:rsid w:val="000B2F19"/>
    <w:rsid w:val="000B5702"/>
    <w:rsid w:val="000C234C"/>
    <w:rsid w:val="000C3BD8"/>
    <w:rsid w:val="000C5E47"/>
    <w:rsid w:val="000E218B"/>
    <w:rsid w:val="000F693F"/>
    <w:rsid w:val="001022CD"/>
    <w:rsid w:val="00113866"/>
    <w:rsid w:val="00121338"/>
    <w:rsid w:val="0014480D"/>
    <w:rsid w:val="001604F5"/>
    <w:rsid w:val="0016477D"/>
    <w:rsid w:val="00181446"/>
    <w:rsid w:val="00181D3E"/>
    <w:rsid w:val="0019287A"/>
    <w:rsid w:val="001A0165"/>
    <w:rsid w:val="001C628D"/>
    <w:rsid w:val="001D2AD1"/>
    <w:rsid w:val="001D60CB"/>
    <w:rsid w:val="001D7E50"/>
    <w:rsid w:val="00230E65"/>
    <w:rsid w:val="00234C42"/>
    <w:rsid w:val="002603A9"/>
    <w:rsid w:val="002A7D89"/>
    <w:rsid w:val="002E7287"/>
    <w:rsid w:val="002E77D0"/>
    <w:rsid w:val="003070F6"/>
    <w:rsid w:val="0031203D"/>
    <w:rsid w:val="00336502"/>
    <w:rsid w:val="003721BF"/>
    <w:rsid w:val="00392011"/>
    <w:rsid w:val="00397528"/>
    <w:rsid w:val="003A6534"/>
    <w:rsid w:val="003C0BBE"/>
    <w:rsid w:val="003F03E4"/>
    <w:rsid w:val="003F0D84"/>
    <w:rsid w:val="003F1AF7"/>
    <w:rsid w:val="00400023"/>
    <w:rsid w:val="00400F8C"/>
    <w:rsid w:val="00405E64"/>
    <w:rsid w:val="00406722"/>
    <w:rsid w:val="004532C4"/>
    <w:rsid w:val="00454557"/>
    <w:rsid w:val="00475DF7"/>
    <w:rsid w:val="004A2DE2"/>
    <w:rsid w:val="004B47EE"/>
    <w:rsid w:val="004C40A9"/>
    <w:rsid w:val="004C6A78"/>
    <w:rsid w:val="004C7C1F"/>
    <w:rsid w:val="004F5B86"/>
    <w:rsid w:val="004F6A80"/>
    <w:rsid w:val="005313DD"/>
    <w:rsid w:val="00564D01"/>
    <w:rsid w:val="005C39C6"/>
    <w:rsid w:val="005F5283"/>
    <w:rsid w:val="006245FD"/>
    <w:rsid w:val="006344B2"/>
    <w:rsid w:val="006753EF"/>
    <w:rsid w:val="00680B27"/>
    <w:rsid w:val="006943EA"/>
    <w:rsid w:val="006B7ED7"/>
    <w:rsid w:val="006C0CB8"/>
    <w:rsid w:val="00747D5A"/>
    <w:rsid w:val="00754529"/>
    <w:rsid w:val="00762979"/>
    <w:rsid w:val="00764BDC"/>
    <w:rsid w:val="00765EB0"/>
    <w:rsid w:val="007B1C88"/>
    <w:rsid w:val="007B70D9"/>
    <w:rsid w:val="007C7F61"/>
    <w:rsid w:val="007E359A"/>
    <w:rsid w:val="007F09CC"/>
    <w:rsid w:val="008066BB"/>
    <w:rsid w:val="008105DA"/>
    <w:rsid w:val="00860DC8"/>
    <w:rsid w:val="00874095"/>
    <w:rsid w:val="008A200E"/>
    <w:rsid w:val="008B65F5"/>
    <w:rsid w:val="008C0742"/>
    <w:rsid w:val="008D6A60"/>
    <w:rsid w:val="00921215"/>
    <w:rsid w:val="009355A1"/>
    <w:rsid w:val="00941A74"/>
    <w:rsid w:val="00941FAA"/>
    <w:rsid w:val="00947AE2"/>
    <w:rsid w:val="009A6F00"/>
    <w:rsid w:val="009C2505"/>
    <w:rsid w:val="009F2A55"/>
    <w:rsid w:val="00A2067F"/>
    <w:rsid w:val="00A23ACA"/>
    <w:rsid w:val="00A40214"/>
    <w:rsid w:val="00A6364B"/>
    <w:rsid w:val="00A65D0E"/>
    <w:rsid w:val="00A70B89"/>
    <w:rsid w:val="00A716A5"/>
    <w:rsid w:val="00A82E53"/>
    <w:rsid w:val="00A85293"/>
    <w:rsid w:val="00AA583D"/>
    <w:rsid w:val="00AA78A9"/>
    <w:rsid w:val="00AC5F79"/>
    <w:rsid w:val="00AC78D7"/>
    <w:rsid w:val="00AD18C9"/>
    <w:rsid w:val="00AE1F61"/>
    <w:rsid w:val="00AE69F8"/>
    <w:rsid w:val="00AE7E8C"/>
    <w:rsid w:val="00B02A57"/>
    <w:rsid w:val="00B35707"/>
    <w:rsid w:val="00B753E1"/>
    <w:rsid w:val="00B77CA4"/>
    <w:rsid w:val="00BA5DCD"/>
    <w:rsid w:val="00BB2812"/>
    <w:rsid w:val="00BC469D"/>
    <w:rsid w:val="00BF72F5"/>
    <w:rsid w:val="00C03742"/>
    <w:rsid w:val="00C57297"/>
    <w:rsid w:val="00C66927"/>
    <w:rsid w:val="00C829B0"/>
    <w:rsid w:val="00CB092F"/>
    <w:rsid w:val="00CC03C9"/>
    <w:rsid w:val="00CC1A7D"/>
    <w:rsid w:val="00CC1B59"/>
    <w:rsid w:val="00D156CF"/>
    <w:rsid w:val="00D53BB5"/>
    <w:rsid w:val="00D867BD"/>
    <w:rsid w:val="00D94F3F"/>
    <w:rsid w:val="00DB62D9"/>
    <w:rsid w:val="00DC0CC7"/>
    <w:rsid w:val="00DC1070"/>
    <w:rsid w:val="00DE3C1D"/>
    <w:rsid w:val="00DF08FC"/>
    <w:rsid w:val="00E01980"/>
    <w:rsid w:val="00E07218"/>
    <w:rsid w:val="00E431FF"/>
    <w:rsid w:val="00E84CF5"/>
    <w:rsid w:val="00EB6E39"/>
    <w:rsid w:val="00EC4710"/>
    <w:rsid w:val="00F156D0"/>
    <w:rsid w:val="00F20AAD"/>
    <w:rsid w:val="00F3353A"/>
    <w:rsid w:val="00F33C92"/>
    <w:rsid w:val="00F36646"/>
    <w:rsid w:val="00F653AB"/>
    <w:rsid w:val="00F66ECD"/>
    <w:rsid w:val="00FB3BF7"/>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paragraph" w:customStyle="1" w:styleId="lt-biz-24422">
    <w:name w:val="lt-biz-24422"/>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8C0742"/>
  </w:style>
  <w:style w:type="character" w:customStyle="1" w:styleId="mt-bgcolor-ffffff">
    <w:name w:val="mt-bgcolor-ffffff"/>
    <w:basedOn w:val="DefaultParagraphFont"/>
    <w:rsid w:val="008C0742"/>
  </w:style>
  <w:style w:type="paragraph" w:customStyle="1" w:styleId="para">
    <w:name w:val="para"/>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400F8C"/>
  </w:style>
  <w:style w:type="table" w:styleId="TableGrid">
    <w:name w:val="Table Grid"/>
    <w:basedOn w:val="TableNormal"/>
    <w:uiPriority w:val="39"/>
    <w:rsid w:val="00C57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5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37455474">
      <w:bodyDiv w:val="1"/>
      <w:marLeft w:val="0"/>
      <w:marRight w:val="0"/>
      <w:marTop w:val="0"/>
      <w:marBottom w:val="0"/>
      <w:divBdr>
        <w:top w:val="none" w:sz="0" w:space="0" w:color="auto"/>
        <w:left w:val="none" w:sz="0" w:space="0" w:color="auto"/>
        <w:bottom w:val="none" w:sz="0" w:space="0" w:color="auto"/>
        <w:right w:val="none" w:sz="0" w:space="0" w:color="auto"/>
      </w:divBdr>
    </w:div>
    <w:div w:id="157382553">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257443823">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7103172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599447">
      <w:bodyDiv w:val="1"/>
      <w:marLeft w:val="0"/>
      <w:marRight w:val="0"/>
      <w:marTop w:val="0"/>
      <w:marBottom w:val="0"/>
      <w:divBdr>
        <w:top w:val="none" w:sz="0" w:space="0" w:color="auto"/>
        <w:left w:val="none" w:sz="0" w:space="0" w:color="auto"/>
        <w:bottom w:val="none" w:sz="0" w:space="0" w:color="auto"/>
        <w:right w:val="none" w:sz="0" w:space="0" w:color="auto"/>
      </w:divBdr>
      <w:divsChild>
        <w:div w:id="1324505080">
          <w:marLeft w:val="0"/>
          <w:marRight w:val="0"/>
          <w:marTop w:val="0"/>
          <w:marBottom w:val="0"/>
          <w:divBdr>
            <w:top w:val="single" w:sz="2" w:space="0" w:color="E5E7EB"/>
            <w:left w:val="single" w:sz="2" w:space="0" w:color="E5E7EB"/>
            <w:bottom w:val="single" w:sz="2" w:space="0" w:color="E5E7EB"/>
            <w:right w:val="single" w:sz="2" w:space="0" w:color="E5E7EB"/>
          </w:divBdr>
          <w:divsChild>
            <w:div w:id="1719166982">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1833">
      <w:bodyDiv w:val="1"/>
      <w:marLeft w:val="0"/>
      <w:marRight w:val="0"/>
      <w:marTop w:val="0"/>
      <w:marBottom w:val="0"/>
      <w:divBdr>
        <w:top w:val="none" w:sz="0" w:space="0" w:color="auto"/>
        <w:left w:val="none" w:sz="0" w:space="0" w:color="auto"/>
        <w:bottom w:val="none" w:sz="0" w:space="0" w:color="auto"/>
        <w:right w:val="none" w:sz="0" w:space="0" w:color="auto"/>
      </w:divBdr>
      <w:divsChild>
        <w:div w:id="1182620504">
          <w:marLeft w:val="0"/>
          <w:marRight w:val="0"/>
          <w:marTop w:val="0"/>
          <w:marBottom w:val="0"/>
          <w:divBdr>
            <w:top w:val="single" w:sz="2" w:space="0" w:color="E5E7EB"/>
            <w:left w:val="single" w:sz="2" w:space="0" w:color="E5E7EB"/>
            <w:bottom w:val="single" w:sz="2" w:space="0" w:color="E5E7EB"/>
            <w:right w:val="single" w:sz="2" w:space="0" w:color="E5E7EB"/>
          </w:divBdr>
          <w:divsChild>
            <w:div w:id="981498884">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2939569">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1996647466">
      <w:bodyDiv w:val="1"/>
      <w:marLeft w:val="0"/>
      <w:marRight w:val="0"/>
      <w:marTop w:val="0"/>
      <w:marBottom w:val="0"/>
      <w:divBdr>
        <w:top w:val="none" w:sz="0" w:space="0" w:color="auto"/>
        <w:left w:val="none" w:sz="0" w:space="0" w:color="auto"/>
        <w:bottom w:val="none" w:sz="0" w:space="0" w:color="auto"/>
        <w:right w:val="none" w:sz="0" w:space="0" w:color="auto"/>
      </w:divBdr>
      <w:divsChild>
        <w:div w:id="286354922">
          <w:marLeft w:val="0"/>
          <w:marRight w:val="0"/>
          <w:marTop w:val="0"/>
          <w:marBottom w:val="0"/>
          <w:divBdr>
            <w:top w:val="none" w:sz="0" w:space="0" w:color="auto"/>
            <w:left w:val="none" w:sz="0" w:space="0" w:color="auto"/>
            <w:bottom w:val="none" w:sz="0" w:space="0" w:color="auto"/>
            <w:right w:val="none" w:sz="0" w:space="0" w:color="auto"/>
          </w:divBdr>
          <w:divsChild>
            <w:div w:id="628584683">
              <w:marLeft w:val="0"/>
              <w:marRight w:val="0"/>
              <w:marTop w:val="0"/>
              <w:marBottom w:val="0"/>
              <w:divBdr>
                <w:top w:val="none" w:sz="0" w:space="0" w:color="auto"/>
                <w:left w:val="none" w:sz="0" w:space="0" w:color="auto"/>
                <w:bottom w:val="none" w:sz="0" w:space="0" w:color="auto"/>
                <w:right w:val="none" w:sz="0" w:space="0" w:color="auto"/>
              </w:divBdr>
            </w:div>
          </w:divsChild>
        </w:div>
        <w:div w:id="710033063">
          <w:marLeft w:val="0"/>
          <w:marRight w:val="0"/>
          <w:marTop w:val="0"/>
          <w:marBottom w:val="0"/>
          <w:divBdr>
            <w:top w:val="none" w:sz="0" w:space="0" w:color="auto"/>
            <w:left w:val="none" w:sz="0" w:space="0" w:color="auto"/>
            <w:bottom w:val="none" w:sz="0" w:space="0" w:color="auto"/>
            <w:right w:val="none" w:sz="0" w:space="0" w:color="auto"/>
          </w:divBdr>
        </w:div>
        <w:div w:id="623659716">
          <w:marLeft w:val="0"/>
          <w:marRight w:val="0"/>
          <w:marTop w:val="0"/>
          <w:marBottom w:val="0"/>
          <w:divBdr>
            <w:top w:val="none" w:sz="0" w:space="0" w:color="auto"/>
            <w:left w:val="none" w:sz="0" w:space="0" w:color="auto"/>
            <w:bottom w:val="none" w:sz="0" w:space="0" w:color="auto"/>
            <w:right w:val="none" w:sz="0" w:space="0" w:color="auto"/>
          </w:divBdr>
        </w:div>
        <w:div w:id="599529557">
          <w:marLeft w:val="0"/>
          <w:marRight w:val="0"/>
          <w:marTop w:val="0"/>
          <w:marBottom w:val="0"/>
          <w:divBdr>
            <w:top w:val="none" w:sz="0" w:space="0" w:color="auto"/>
            <w:left w:val="none" w:sz="0" w:space="0" w:color="auto"/>
            <w:bottom w:val="none" w:sz="0" w:space="0" w:color="auto"/>
            <w:right w:val="none" w:sz="0" w:space="0" w:color="auto"/>
          </w:divBdr>
          <w:divsChild>
            <w:div w:id="16617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libretexts.org/Bookshelves/Management/Principles_of_Manag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nc-sa/3.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fricasustainabilitymatters.com/dangote-groups-approach-to-sustainable-supply-ch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80EE87-6327-7B40-B098-50CAB0B1EBB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5</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2025-08-13T05:03:00Z</dcterms:created>
  <dcterms:modified xsi:type="dcterms:W3CDTF">2025-08-13T05:25:00Z</dcterms:modified>
</cp:coreProperties>
</file>