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AEAB" w14:textId="77777777" w:rsidR="004567A2" w:rsidRPr="000159DE" w:rsidRDefault="004567A2" w:rsidP="000159DE">
      <w:pPr>
        <w:pStyle w:val="Title"/>
        <w:spacing w:after="0" w:line="480" w:lineRule="auto"/>
        <w:jc w:val="center"/>
        <w:rPr>
          <w:rFonts w:ascii="Times New Roman" w:hAnsi="Times New Roman" w:cs="Times New Roman"/>
          <w:b/>
          <w:bCs/>
          <w:color w:val="000000" w:themeColor="text1"/>
          <w:sz w:val="24"/>
          <w:szCs w:val="24"/>
        </w:rPr>
      </w:pPr>
      <w:r w:rsidRPr="000159DE">
        <w:rPr>
          <w:rFonts w:ascii="Times New Roman" w:hAnsi="Times New Roman" w:cs="Times New Roman"/>
          <w:b/>
          <w:bCs/>
          <w:color w:val="000000" w:themeColor="text1"/>
          <w:sz w:val="24"/>
          <w:szCs w:val="24"/>
        </w:rPr>
        <w:t>Stack, Queue, and Recursion Operations in Blood Bank Management</w:t>
      </w:r>
    </w:p>
    <w:p w14:paraId="20FFA195" w14:textId="6F34550B" w:rsidR="000159DE" w:rsidRPr="000159DE" w:rsidRDefault="000159DE" w:rsidP="000159DE">
      <w:pPr>
        <w:spacing w:after="0" w:line="480" w:lineRule="auto"/>
        <w:rPr>
          <w:rFonts w:ascii="Times New Roman" w:hAnsi="Times New Roman" w:cs="Times New Roman"/>
          <w:b/>
          <w:bCs/>
          <w:color w:val="000000" w:themeColor="text1"/>
        </w:rPr>
      </w:pPr>
      <w:r w:rsidRPr="000159DE">
        <w:rPr>
          <w:rFonts w:ascii="Times New Roman" w:hAnsi="Times New Roman" w:cs="Times New Roman"/>
          <w:b/>
          <w:bCs/>
          <w:color w:val="000000" w:themeColor="text1"/>
        </w:rPr>
        <w:t>Introduction</w:t>
      </w:r>
    </w:p>
    <w:p w14:paraId="294A708B" w14:textId="18281BC3"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 xml:space="preserve">Efficient management of blood donations and requests is vital for modern healthcare systems. The LifeBlood scenario exemplifies the challenges blood banks </w:t>
      </w:r>
      <w:r w:rsidR="00E85CB9">
        <w:rPr>
          <w:rFonts w:ascii="Times New Roman" w:hAnsi="Times New Roman" w:cs="Times New Roman"/>
          <w:color w:val="000000" w:themeColor="text1"/>
        </w:rPr>
        <w:t xml:space="preserve">face </w:t>
      </w:r>
      <w:r w:rsidRPr="000159DE">
        <w:rPr>
          <w:rFonts w:ascii="Times New Roman" w:hAnsi="Times New Roman" w:cs="Times New Roman"/>
          <w:color w:val="000000" w:themeColor="text1"/>
        </w:rPr>
        <w:t xml:space="preserve">in </w:t>
      </w:r>
      <w:r w:rsidR="00E85CB9">
        <w:rPr>
          <w:rFonts w:ascii="Times New Roman" w:hAnsi="Times New Roman" w:cs="Times New Roman"/>
          <w:color w:val="000000" w:themeColor="text1"/>
        </w:rPr>
        <w:t>manag</w:t>
      </w:r>
      <w:r w:rsidRPr="000159DE">
        <w:rPr>
          <w:rFonts w:ascii="Times New Roman" w:hAnsi="Times New Roman" w:cs="Times New Roman"/>
          <w:color w:val="000000" w:themeColor="text1"/>
        </w:rPr>
        <w:t>ing donor eligibility, inventory rotation, and urgent blood requests. Data structures such as stacks and queues, along with recursive algorithms, provide powerful tools for solving these operational problems. This essay explores how queue and stack operations, including recursion and advanced queue types, contribute to fair, reliable, and optimized blood bank management.</w:t>
      </w:r>
    </w:p>
    <w:p w14:paraId="27CC3F64" w14:textId="0AA2C029" w:rsidR="004567A2" w:rsidRPr="000159DE" w:rsidRDefault="004567A2" w:rsidP="000159DE">
      <w:pPr>
        <w:pStyle w:val="Heading1"/>
        <w:spacing w:before="0" w:after="0" w:line="480" w:lineRule="auto"/>
        <w:rPr>
          <w:rFonts w:ascii="Times New Roman" w:hAnsi="Times New Roman" w:cs="Times New Roman"/>
          <w:b/>
          <w:bCs/>
          <w:color w:val="000000" w:themeColor="text1"/>
          <w:sz w:val="24"/>
          <w:szCs w:val="24"/>
        </w:rPr>
      </w:pPr>
      <w:r w:rsidRPr="000159DE">
        <w:rPr>
          <w:rFonts w:ascii="Times New Roman" w:hAnsi="Times New Roman" w:cs="Times New Roman"/>
          <w:b/>
          <w:bCs/>
          <w:color w:val="000000" w:themeColor="text1"/>
          <w:sz w:val="24"/>
          <w:szCs w:val="24"/>
        </w:rPr>
        <w:t xml:space="preserve">Managing </w:t>
      </w:r>
      <w:r w:rsidR="000159DE" w:rsidRPr="000159DE">
        <w:rPr>
          <w:rFonts w:ascii="Times New Roman" w:hAnsi="Times New Roman" w:cs="Times New Roman"/>
          <w:b/>
          <w:bCs/>
          <w:color w:val="000000" w:themeColor="text1"/>
          <w:sz w:val="24"/>
          <w:szCs w:val="24"/>
        </w:rPr>
        <w:t>blood requests with stacks and queues</w:t>
      </w:r>
    </w:p>
    <w:p w14:paraId="61A8B053" w14:textId="7308777F"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Blood banks must process incoming requests from hospitals and clinics efficiently. Queue operations are ideal for managing these requests, as they maintain a first-in-first-out (FIFO) order</w:t>
      </w:r>
      <w:r w:rsidR="000159DE">
        <w:rPr>
          <w:rFonts w:ascii="Times New Roman" w:hAnsi="Times New Roman" w:cs="Times New Roman"/>
          <w:color w:val="000000" w:themeColor="text1"/>
        </w:rPr>
        <w:t xml:space="preserve"> </w:t>
      </w:r>
      <w:r w:rsidR="000159DE" w:rsidRPr="000159DE">
        <w:rPr>
          <w:rFonts w:ascii="Times New Roman" w:hAnsi="Times New Roman" w:cs="Times New Roman"/>
          <w:color w:val="000000" w:themeColor="text1"/>
        </w:rPr>
        <w:t>(Stephenes, 2013)</w:t>
      </w:r>
      <w:r w:rsidRPr="000159DE">
        <w:rPr>
          <w:rFonts w:ascii="Times New Roman" w:hAnsi="Times New Roman" w:cs="Times New Roman"/>
          <w:color w:val="000000" w:themeColor="text1"/>
        </w:rPr>
        <w:t>. When a hospital submits a request for blood units, the system adds the request to the end of the queue using the enqueue operation. As resources become available, the dequeue operation removes the request at the front, ensuring that earlier requests are fulfilled first. This approach mirrors a store’s checkout line, where customers are served in the order they arrive, promoting fairness and transparency</w:t>
      </w:r>
      <w:r w:rsidR="000159DE">
        <w:rPr>
          <w:rFonts w:ascii="Times New Roman" w:hAnsi="Times New Roman" w:cs="Times New Roman"/>
          <w:color w:val="000000" w:themeColor="text1"/>
        </w:rPr>
        <w:t>.</w:t>
      </w:r>
    </w:p>
    <w:p w14:paraId="1F81478E" w14:textId="77777777"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For example, if LifeBlood receives requests from Hospital A, B, and C in sequence, FIFO ensures Hospital A’s request is handled before B and C, regardless of the urgency level. This prevents newer requests from overtaking older ones, ensuring equitable distribution of blood units. The queue’s structure also allows for quick checks on pending requests and easy scaling when demand increases.</w:t>
      </w:r>
    </w:p>
    <w:p w14:paraId="3DA2DF8A" w14:textId="77777777"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 xml:space="preserve">Stacks complement queues by tracking urgent donations and special cases. When a donor’s blood is flagged as urgently needed, the system uses a stack to record these donations. The last urgent </w:t>
      </w:r>
      <w:r w:rsidRPr="000159DE">
        <w:rPr>
          <w:rFonts w:ascii="Times New Roman" w:hAnsi="Times New Roman" w:cs="Times New Roman"/>
          <w:color w:val="000000" w:themeColor="text1"/>
        </w:rPr>
        <w:lastRenderedPageBreak/>
        <w:t>donation added is the first to be processed, reflecting the last-in-first-out (LIFO) principle. If multiple urgent donations occur, stack operations guarantee that the most recent critical donation is prioritized, which is particularly useful during emergencies or when managing rare blood types (Stephenes, 2013).</w:t>
      </w:r>
    </w:p>
    <w:p w14:paraId="2C667984" w14:textId="7802B6A0" w:rsidR="004567A2" w:rsidRPr="000159DE" w:rsidRDefault="004567A2" w:rsidP="000159DE">
      <w:pPr>
        <w:pStyle w:val="Heading1"/>
        <w:spacing w:before="0" w:after="0" w:line="480" w:lineRule="auto"/>
        <w:rPr>
          <w:rFonts w:ascii="Times New Roman" w:hAnsi="Times New Roman" w:cs="Times New Roman"/>
          <w:b/>
          <w:bCs/>
          <w:color w:val="000000" w:themeColor="text1"/>
          <w:sz w:val="24"/>
          <w:szCs w:val="24"/>
        </w:rPr>
      </w:pPr>
      <w:r w:rsidRPr="000159DE">
        <w:rPr>
          <w:rFonts w:ascii="Times New Roman" w:hAnsi="Times New Roman" w:cs="Times New Roman"/>
          <w:b/>
          <w:bCs/>
          <w:color w:val="000000" w:themeColor="text1"/>
          <w:sz w:val="24"/>
          <w:szCs w:val="24"/>
        </w:rPr>
        <w:t xml:space="preserve">Stack </w:t>
      </w:r>
      <w:r w:rsidR="000159DE" w:rsidRPr="000159DE">
        <w:rPr>
          <w:rFonts w:ascii="Times New Roman" w:hAnsi="Times New Roman" w:cs="Times New Roman"/>
          <w:b/>
          <w:bCs/>
          <w:color w:val="000000" w:themeColor="text1"/>
          <w:sz w:val="24"/>
          <w:szCs w:val="24"/>
        </w:rPr>
        <w:t>applications in donor eligibility</w:t>
      </w:r>
    </w:p>
    <w:p w14:paraId="72508242" w14:textId="77777777"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Eligibility of blood donors often involves evaluating multiple criteria, such as age, health status, and donation history. Recursion is a valuable technique for handling these checks, especially when eligibility rules depend on repeated cycles or nested conditions. For instance, a recursive algorithm can verify if a donor meets all requirements by calling itself for each criterion, simplifying complex logic and ensuring all conditions are checked systematically (Stephenes, 2013).</w:t>
      </w:r>
    </w:p>
    <w:p w14:paraId="15A21EDB" w14:textId="77777777"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Stack-based evaluation further streamlines eligibility verification. Each criterion is pushed onto the stack as it is checked; if any fail, the stack unwinds, allowing immediate notification to the donor. This mirrors the process of evaluating postfix expressions, where operands (criteria) are pushed onto the stack and operators (logical checks) are applied as encountered. The postfix evaluation method, as described by Runestone Academy (2025), is especially useful for calculating time gaps between donations. When a donor submits a new donation, the system can use a postfix expression to determine if enough time has passed since the last donation, ensuring compliance with medical guidelines and donor safety.</w:t>
      </w:r>
    </w:p>
    <w:p w14:paraId="07867B39" w14:textId="6DC203EF"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Recursion is also effective for handling eligibility checks across multiple donation cycles</w:t>
      </w:r>
      <w:r w:rsidR="000159DE" w:rsidRPr="000159DE">
        <w:rPr>
          <w:rFonts w:ascii="Times New Roman" w:hAnsi="Times New Roman" w:cs="Times New Roman"/>
          <w:color w:val="000000" w:themeColor="text1"/>
        </w:rPr>
        <w:t xml:space="preserve"> (Stephenes, 2013)</w:t>
      </w:r>
      <w:r w:rsidRPr="000159DE">
        <w:rPr>
          <w:rFonts w:ascii="Times New Roman" w:hAnsi="Times New Roman" w:cs="Times New Roman"/>
          <w:color w:val="000000" w:themeColor="text1"/>
        </w:rPr>
        <w:t xml:space="preserve">. For example, if donors can give blood every three months, a recursive algorithm can verify eligibility for each cycle, stopping when the donor reaches a disqualifying </w:t>
      </w:r>
      <w:r w:rsidRPr="000159DE">
        <w:rPr>
          <w:rFonts w:ascii="Times New Roman" w:hAnsi="Times New Roman" w:cs="Times New Roman"/>
          <w:color w:val="000000" w:themeColor="text1"/>
        </w:rPr>
        <w:lastRenderedPageBreak/>
        <w:t>condition or the maximum allowed number of donations. This approach reduces code complexity and helps maintain accurate records over time (Stephenes, 2013).</w:t>
      </w:r>
    </w:p>
    <w:p w14:paraId="4D31EE02" w14:textId="748A27D0" w:rsidR="004567A2" w:rsidRPr="000159DE" w:rsidRDefault="004567A2" w:rsidP="000159DE">
      <w:pPr>
        <w:pStyle w:val="Heading1"/>
        <w:spacing w:before="0" w:after="0" w:line="480" w:lineRule="auto"/>
        <w:rPr>
          <w:rFonts w:ascii="Times New Roman" w:hAnsi="Times New Roman" w:cs="Times New Roman"/>
          <w:b/>
          <w:bCs/>
          <w:color w:val="000000" w:themeColor="text1"/>
          <w:sz w:val="24"/>
          <w:szCs w:val="24"/>
        </w:rPr>
      </w:pPr>
      <w:r w:rsidRPr="000159DE">
        <w:rPr>
          <w:rFonts w:ascii="Times New Roman" w:hAnsi="Times New Roman" w:cs="Times New Roman"/>
          <w:b/>
          <w:bCs/>
          <w:color w:val="000000" w:themeColor="text1"/>
          <w:sz w:val="24"/>
          <w:szCs w:val="24"/>
        </w:rPr>
        <w:t xml:space="preserve">Optimizing </w:t>
      </w:r>
      <w:r w:rsidR="000159DE" w:rsidRPr="000159DE">
        <w:rPr>
          <w:rFonts w:ascii="Times New Roman" w:hAnsi="Times New Roman" w:cs="Times New Roman"/>
          <w:b/>
          <w:bCs/>
          <w:color w:val="000000" w:themeColor="text1"/>
          <w:sz w:val="24"/>
          <w:szCs w:val="24"/>
        </w:rPr>
        <w:t>inventory management with circular and priority queues</w:t>
      </w:r>
    </w:p>
    <w:p w14:paraId="0F849454" w14:textId="77777777"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Blood inventory management requires careful rotation to prevent wastage and ensure that older blood units are used before newer ones. Circular queues are ideal for this task, as they treat the storage array as a loop, allowing the system to wrap around and reuse storage efficiently. When a blood unit is added, it occupies the next available slot; when used, the slot is freed and can be reused. This minimizes unused space and ensures that blood units are issued in the order they were received, supporting FIFO principles (Stephenes, 2013).</w:t>
      </w:r>
    </w:p>
    <w:p w14:paraId="6C3B0692" w14:textId="1CE0D43B"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In emergenc</w:t>
      </w:r>
      <w:r w:rsidR="000159DE" w:rsidRPr="000159DE">
        <w:rPr>
          <w:rFonts w:ascii="Times New Roman" w:hAnsi="Times New Roman" w:cs="Times New Roman"/>
          <w:color w:val="000000" w:themeColor="text1"/>
        </w:rPr>
        <w:t>ie</w:t>
      </w:r>
      <w:r w:rsidRPr="000159DE">
        <w:rPr>
          <w:rFonts w:ascii="Times New Roman" w:hAnsi="Times New Roman" w:cs="Times New Roman"/>
          <w:color w:val="000000" w:themeColor="text1"/>
        </w:rPr>
        <w:t>s, priority queues offer significant advantages. Each blood request is assigned a priority based on urgency, such as critical surgeries or trauma cases. The priority queue ensures that high-priority requests are handled before routine ones, regardless of their arrival time</w:t>
      </w:r>
      <w:r w:rsidR="000159DE" w:rsidRPr="000159DE">
        <w:rPr>
          <w:rFonts w:ascii="Times New Roman" w:hAnsi="Times New Roman" w:cs="Times New Roman"/>
          <w:color w:val="000000" w:themeColor="text1"/>
        </w:rPr>
        <w:t xml:space="preserve"> (Stephenes, 2013)</w:t>
      </w:r>
      <w:r w:rsidRPr="000159DE">
        <w:rPr>
          <w:rFonts w:ascii="Times New Roman" w:hAnsi="Times New Roman" w:cs="Times New Roman"/>
          <w:color w:val="000000" w:themeColor="text1"/>
        </w:rPr>
        <w:t>. For instance, if LifeBlood receives a request marked “urgent” from a trauma center, the priority queue places this request ahead of standard requests from other hospitals. This structure enables rapid response to emergencies without sacrificing fairness for routine cases</w:t>
      </w:r>
      <w:r w:rsidR="000159DE" w:rsidRPr="000159DE">
        <w:rPr>
          <w:rFonts w:ascii="Times New Roman" w:hAnsi="Times New Roman" w:cs="Times New Roman"/>
          <w:color w:val="000000" w:themeColor="text1"/>
        </w:rPr>
        <w:t>.</w:t>
      </w:r>
    </w:p>
    <w:p w14:paraId="2F7807C0" w14:textId="6AB0C801"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Circular and priority queues also facilitate inventory scaling and emergency preparedness. As demand fluctuates, the circular queue allows quick addition and removal of units without reallocating memory, while the priority queue enables dynamic adjustment of request handling based on real-time needs</w:t>
      </w:r>
      <w:r w:rsidR="000159DE" w:rsidRPr="000159DE">
        <w:rPr>
          <w:rFonts w:ascii="Times New Roman" w:hAnsi="Times New Roman" w:cs="Times New Roman"/>
          <w:color w:val="000000" w:themeColor="text1"/>
        </w:rPr>
        <w:t xml:space="preserve"> (Stephenes, 2013)</w:t>
      </w:r>
      <w:r w:rsidRPr="000159DE">
        <w:rPr>
          <w:rFonts w:ascii="Times New Roman" w:hAnsi="Times New Roman" w:cs="Times New Roman"/>
          <w:color w:val="000000" w:themeColor="text1"/>
        </w:rPr>
        <w:t>. Together, these data structures optimize resource allocation and ensure that blood banks can respond effectively to both regular and critical situations.</w:t>
      </w:r>
    </w:p>
    <w:p w14:paraId="2ACE1C34" w14:textId="77777777" w:rsidR="004567A2" w:rsidRPr="000159DE" w:rsidRDefault="004567A2" w:rsidP="000159DE">
      <w:pPr>
        <w:pStyle w:val="Heading1"/>
        <w:spacing w:before="0" w:after="0" w:line="480" w:lineRule="auto"/>
        <w:rPr>
          <w:rFonts w:ascii="Times New Roman" w:hAnsi="Times New Roman" w:cs="Times New Roman"/>
          <w:b/>
          <w:bCs/>
          <w:color w:val="000000" w:themeColor="text1"/>
          <w:sz w:val="24"/>
          <w:szCs w:val="24"/>
        </w:rPr>
      </w:pPr>
      <w:r w:rsidRPr="000159DE">
        <w:rPr>
          <w:rFonts w:ascii="Times New Roman" w:hAnsi="Times New Roman" w:cs="Times New Roman"/>
          <w:b/>
          <w:bCs/>
          <w:color w:val="000000" w:themeColor="text1"/>
          <w:sz w:val="24"/>
          <w:szCs w:val="24"/>
        </w:rPr>
        <w:lastRenderedPageBreak/>
        <w:t>Conclusion</w:t>
      </w:r>
    </w:p>
    <w:p w14:paraId="401CCD5C" w14:textId="77777777" w:rsidR="004567A2" w:rsidRPr="000159DE" w:rsidRDefault="004567A2" w:rsidP="000159DE">
      <w:pPr>
        <w:spacing w:after="0" w:line="480" w:lineRule="auto"/>
        <w:rPr>
          <w:rFonts w:ascii="Times New Roman" w:hAnsi="Times New Roman" w:cs="Times New Roman"/>
          <w:color w:val="000000" w:themeColor="text1"/>
        </w:rPr>
      </w:pPr>
      <w:r w:rsidRPr="000159DE">
        <w:rPr>
          <w:rFonts w:ascii="Times New Roman" w:hAnsi="Times New Roman" w:cs="Times New Roman"/>
          <w:color w:val="000000" w:themeColor="text1"/>
        </w:rPr>
        <w:t>The LifeBlood scenario demonstrates the importance of using appropriate data structures to manage blood donations and requests efficiently. Queue operations and FIFO order guarantee fairness in handling requests, while stacks ensure urgent donations are tracked and processed promptly. Recursion and stack-based evaluation simplify donor eligibility checks, and postfix evaluation enables accurate calculation of time gaps between donations. Advanced structures like circular and priority queues further optimize inventory management and emergency response. By leveraging these techniques, data engineers and students can design robust systems that support the critical mission of blood banks, ensuring equitable and timely delivery of lifesaving resources.</w:t>
      </w:r>
    </w:p>
    <w:p w14:paraId="7C168BFC" w14:textId="77777777" w:rsidR="00DF01EC" w:rsidRPr="00DF01EC" w:rsidRDefault="00DF01EC" w:rsidP="000159DE">
      <w:pPr>
        <w:shd w:val="clear" w:color="auto" w:fill="FFFFFF"/>
        <w:spacing w:after="0" w:line="240" w:lineRule="auto"/>
        <w:jc w:val="center"/>
        <w:rPr>
          <w:rFonts w:ascii="Times New Roman" w:eastAsia="Times New Roman" w:hAnsi="Times New Roman" w:cs="Times New Roman"/>
          <w:b/>
          <w:bCs/>
          <w:color w:val="000000" w:themeColor="text1"/>
          <w:kern w:val="0"/>
          <w14:ligatures w14:val="none"/>
        </w:rPr>
      </w:pPr>
      <w:r w:rsidRPr="00DF01EC">
        <w:rPr>
          <w:rFonts w:ascii="Times New Roman" w:eastAsia="Times New Roman" w:hAnsi="Times New Roman" w:cs="Times New Roman"/>
          <w:b/>
          <w:bCs/>
          <w:color w:val="000000" w:themeColor="text1"/>
          <w:kern w:val="0"/>
          <w14:ligatures w14:val="none"/>
        </w:rPr>
        <w:t>References</w:t>
      </w:r>
    </w:p>
    <w:p w14:paraId="080548F9" w14:textId="747C4252" w:rsidR="00DF01EC" w:rsidRPr="00DF01EC" w:rsidRDefault="00DF01EC" w:rsidP="000159DE">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DF01EC">
        <w:rPr>
          <w:rFonts w:ascii="Times New Roman" w:eastAsia="Times New Roman" w:hAnsi="Times New Roman" w:cs="Times New Roman"/>
          <w:color w:val="000000" w:themeColor="text1"/>
          <w:kern w:val="0"/>
          <w14:ligatures w14:val="none"/>
        </w:rPr>
        <w:t>Runestone Academy. (2025). </w:t>
      </w:r>
      <w:r w:rsidRPr="00DF01EC">
        <w:rPr>
          <w:rFonts w:ascii="Times New Roman" w:eastAsia="Times New Roman" w:hAnsi="Times New Roman" w:cs="Times New Roman"/>
          <w:i/>
          <w:iCs/>
          <w:color w:val="000000" w:themeColor="text1"/>
          <w:kern w:val="0"/>
          <w14:ligatures w14:val="none"/>
        </w:rPr>
        <w:t xml:space="preserve">Chapter 4.9. Infix, </w:t>
      </w:r>
      <w:r w:rsidR="00F77183" w:rsidRPr="00F77183">
        <w:rPr>
          <w:rFonts w:ascii="Times New Roman" w:eastAsia="Times New Roman" w:hAnsi="Times New Roman" w:cs="Times New Roman"/>
          <w:i/>
          <w:iCs/>
          <w:color w:val="000000" w:themeColor="text1"/>
          <w:kern w:val="0"/>
          <w14:ligatures w14:val="none"/>
        </w:rPr>
        <w:t>prefix and postfix expressions</w:t>
      </w:r>
      <w:r w:rsidR="00F77183" w:rsidRPr="00DF01EC">
        <w:rPr>
          <w:rFonts w:ascii="Times New Roman" w:eastAsia="Times New Roman" w:hAnsi="Times New Roman" w:cs="Times New Roman"/>
          <w:color w:val="000000" w:themeColor="text1"/>
          <w:kern w:val="0"/>
          <w14:ligatures w14:val="none"/>
        </w:rPr>
        <w:t>. </w:t>
      </w:r>
      <w:hyperlink r:id="rId5" w:history="1">
        <w:r w:rsidRPr="00DF01EC">
          <w:rPr>
            <w:rFonts w:ascii="Times New Roman" w:eastAsia="Times New Roman" w:hAnsi="Times New Roman" w:cs="Times New Roman"/>
            <w:color w:val="000000" w:themeColor="text1"/>
            <w:kern w:val="0"/>
            <w:u w:val="single"/>
            <w14:ligatures w14:val="none"/>
          </w:rPr>
          <w:t>https://runestone.academy/ns/books/published/pythonds/BasicDS/InfixPrefixandPostfixExpressions.html</w:t>
        </w:r>
      </w:hyperlink>
    </w:p>
    <w:p w14:paraId="4DCD3DC4" w14:textId="77777777" w:rsidR="00DF01EC" w:rsidRPr="00DF01EC" w:rsidRDefault="00DF01EC" w:rsidP="000159DE">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DF01EC">
        <w:rPr>
          <w:rFonts w:ascii="Times New Roman" w:eastAsia="Times New Roman" w:hAnsi="Times New Roman" w:cs="Times New Roman"/>
          <w:color w:val="000000" w:themeColor="text1"/>
          <w:kern w:val="0"/>
          <w14:ligatures w14:val="none"/>
        </w:rPr>
        <w:t>Stephens, R. (2013). </w:t>
      </w:r>
      <w:r w:rsidRPr="00DF01EC">
        <w:rPr>
          <w:rFonts w:ascii="Times New Roman" w:eastAsia="Times New Roman" w:hAnsi="Times New Roman" w:cs="Times New Roman"/>
          <w:i/>
          <w:iCs/>
          <w:color w:val="000000" w:themeColor="text1"/>
          <w:kern w:val="0"/>
          <w14:ligatures w14:val="none"/>
        </w:rPr>
        <w:t>Essential algorithms: A practical approach to computer algorithms</w:t>
      </w:r>
      <w:r w:rsidRPr="00DF01EC">
        <w:rPr>
          <w:rFonts w:ascii="Times New Roman" w:eastAsia="Times New Roman" w:hAnsi="Times New Roman" w:cs="Times New Roman"/>
          <w:color w:val="000000" w:themeColor="text1"/>
          <w:kern w:val="0"/>
          <w14:ligatures w14:val="none"/>
        </w:rPr>
        <w:t>. John Wiley &amp; Sons.</w:t>
      </w:r>
    </w:p>
    <w:p w14:paraId="72B2E19E" w14:textId="77777777" w:rsidR="004567A2" w:rsidRPr="000159DE" w:rsidRDefault="004567A2" w:rsidP="000159DE">
      <w:pPr>
        <w:spacing w:after="0"/>
        <w:rPr>
          <w:rFonts w:ascii="Times New Roman" w:hAnsi="Times New Roman" w:cs="Times New Roman"/>
          <w:color w:val="000000" w:themeColor="text1"/>
        </w:rPr>
      </w:pPr>
    </w:p>
    <w:p w14:paraId="1BDB1516" w14:textId="77777777" w:rsidR="006707B2" w:rsidRPr="000159DE" w:rsidRDefault="006707B2" w:rsidP="000159DE">
      <w:pPr>
        <w:spacing w:after="0"/>
        <w:rPr>
          <w:rFonts w:ascii="Times New Roman" w:hAnsi="Times New Roman" w:cs="Times New Roman"/>
          <w:color w:val="000000" w:themeColor="text1"/>
        </w:rPr>
      </w:pPr>
    </w:p>
    <w:sectPr w:rsidR="006707B2" w:rsidRPr="000159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75F99"/>
    <w:multiLevelType w:val="multilevel"/>
    <w:tmpl w:val="77CEA0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5F0F2A"/>
    <w:multiLevelType w:val="multilevel"/>
    <w:tmpl w:val="059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90A73"/>
    <w:multiLevelType w:val="multilevel"/>
    <w:tmpl w:val="FF1698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14963">
    <w:abstractNumId w:val="1"/>
  </w:num>
  <w:num w:numId="2" w16cid:durableId="524292257">
    <w:abstractNumId w:val="2"/>
  </w:num>
  <w:num w:numId="3" w16cid:durableId="23370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B2"/>
    <w:rsid w:val="000159DE"/>
    <w:rsid w:val="004567A2"/>
    <w:rsid w:val="00482577"/>
    <w:rsid w:val="006707B2"/>
    <w:rsid w:val="00985FB9"/>
    <w:rsid w:val="00991F88"/>
    <w:rsid w:val="00DF01EC"/>
    <w:rsid w:val="00E828EE"/>
    <w:rsid w:val="00E85CB9"/>
    <w:rsid w:val="00F77183"/>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AD84E"/>
  <w15:chartTrackingRefBased/>
  <w15:docId w15:val="{8601D49B-5DEF-464E-B3C7-869050CB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0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0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7B2"/>
    <w:rPr>
      <w:rFonts w:eastAsiaTheme="majorEastAsia" w:cstheme="majorBidi"/>
      <w:color w:val="272727" w:themeColor="text1" w:themeTint="D8"/>
    </w:rPr>
  </w:style>
  <w:style w:type="paragraph" w:styleId="Title">
    <w:name w:val="Title"/>
    <w:basedOn w:val="Normal"/>
    <w:next w:val="Normal"/>
    <w:link w:val="TitleChar"/>
    <w:uiPriority w:val="10"/>
    <w:qFormat/>
    <w:rsid w:val="00670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7B2"/>
    <w:pPr>
      <w:spacing w:before="160"/>
      <w:jc w:val="center"/>
    </w:pPr>
    <w:rPr>
      <w:i/>
      <w:iCs/>
      <w:color w:val="404040" w:themeColor="text1" w:themeTint="BF"/>
    </w:rPr>
  </w:style>
  <w:style w:type="character" w:customStyle="1" w:styleId="QuoteChar">
    <w:name w:val="Quote Char"/>
    <w:basedOn w:val="DefaultParagraphFont"/>
    <w:link w:val="Quote"/>
    <w:uiPriority w:val="29"/>
    <w:rsid w:val="006707B2"/>
    <w:rPr>
      <w:i/>
      <w:iCs/>
      <w:color w:val="404040" w:themeColor="text1" w:themeTint="BF"/>
    </w:rPr>
  </w:style>
  <w:style w:type="paragraph" w:styleId="ListParagraph">
    <w:name w:val="List Paragraph"/>
    <w:basedOn w:val="Normal"/>
    <w:uiPriority w:val="34"/>
    <w:qFormat/>
    <w:rsid w:val="006707B2"/>
    <w:pPr>
      <w:ind w:left="720"/>
      <w:contextualSpacing/>
    </w:pPr>
  </w:style>
  <w:style w:type="character" w:styleId="IntenseEmphasis">
    <w:name w:val="Intense Emphasis"/>
    <w:basedOn w:val="DefaultParagraphFont"/>
    <w:uiPriority w:val="21"/>
    <w:qFormat/>
    <w:rsid w:val="006707B2"/>
    <w:rPr>
      <w:i/>
      <w:iCs/>
      <w:color w:val="0F4761" w:themeColor="accent1" w:themeShade="BF"/>
    </w:rPr>
  </w:style>
  <w:style w:type="paragraph" w:styleId="IntenseQuote">
    <w:name w:val="Intense Quote"/>
    <w:basedOn w:val="Normal"/>
    <w:next w:val="Normal"/>
    <w:link w:val="IntenseQuoteChar"/>
    <w:uiPriority w:val="30"/>
    <w:qFormat/>
    <w:rsid w:val="00670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7B2"/>
    <w:rPr>
      <w:i/>
      <w:iCs/>
      <w:color w:val="0F4761" w:themeColor="accent1" w:themeShade="BF"/>
    </w:rPr>
  </w:style>
  <w:style w:type="character" w:styleId="IntenseReference">
    <w:name w:val="Intense Reference"/>
    <w:basedOn w:val="DefaultParagraphFont"/>
    <w:uiPriority w:val="32"/>
    <w:qFormat/>
    <w:rsid w:val="006707B2"/>
    <w:rPr>
      <w:b/>
      <w:bCs/>
      <w:smallCaps/>
      <w:color w:val="0F4761" w:themeColor="accent1" w:themeShade="BF"/>
      <w:spacing w:val="5"/>
    </w:rPr>
  </w:style>
  <w:style w:type="paragraph" w:styleId="NormalWeb">
    <w:name w:val="Normal (Web)"/>
    <w:basedOn w:val="Normal"/>
    <w:uiPriority w:val="99"/>
    <w:semiHidden/>
    <w:unhideWhenUsed/>
    <w:rsid w:val="00991F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1F88"/>
    <w:rPr>
      <w:i/>
      <w:iCs/>
    </w:rPr>
  </w:style>
  <w:style w:type="character" w:styleId="Strong">
    <w:name w:val="Strong"/>
    <w:basedOn w:val="DefaultParagraphFont"/>
    <w:uiPriority w:val="22"/>
    <w:qFormat/>
    <w:rsid w:val="00991F88"/>
    <w:rPr>
      <w:b/>
      <w:bCs/>
    </w:rPr>
  </w:style>
  <w:style w:type="character" w:styleId="Hyperlink">
    <w:name w:val="Hyperlink"/>
    <w:basedOn w:val="DefaultParagraphFont"/>
    <w:uiPriority w:val="99"/>
    <w:semiHidden/>
    <w:unhideWhenUsed/>
    <w:rsid w:val="00DF01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unestone.academy/ns/books/published/pythonds/BasicDS/InfixPrefixandPostfixExpression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2025-11-30T22:36:00Z</dcterms:created>
  <dcterms:modified xsi:type="dcterms:W3CDTF">2025-12-01T11:35:00Z</dcterms:modified>
</cp:coreProperties>
</file>