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1DAC4" w14:textId="77777777" w:rsidR="00ED5B95" w:rsidRPr="00B40E58" w:rsidRDefault="00ED5B95" w:rsidP="00ED5B95">
      <w:pPr>
        <w:pStyle w:val="Title"/>
        <w:spacing w:after="0" w:line="480" w:lineRule="auto"/>
        <w:jc w:val="center"/>
        <w:rPr>
          <w:rFonts w:ascii="Times New Roman" w:eastAsia="Times New Roman" w:hAnsi="Times New Roman" w:cs="Times New Roman"/>
          <w:color w:val="000000" w:themeColor="text1"/>
          <w:sz w:val="24"/>
          <w:szCs w:val="24"/>
        </w:rPr>
      </w:pPr>
    </w:p>
    <w:p w14:paraId="35C7134D" w14:textId="77777777" w:rsidR="00B40E58" w:rsidRDefault="00B40E58" w:rsidP="00B40E58">
      <w:pPr>
        <w:pStyle w:val="Title"/>
        <w:rPr>
          <w:rFonts w:ascii="Times New Roman" w:eastAsiaTheme="minorHAnsi" w:hAnsi="Times New Roman" w:cs="Times New Roman"/>
          <w:sz w:val="24"/>
          <w:szCs w:val="24"/>
        </w:rPr>
      </w:pPr>
    </w:p>
    <w:p w14:paraId="324663C3" w14:textId="4CFA34C4" w:rsidR="00B40E58" w:rsidRPr="00B40E58" w:rsidRDefault="00B40E58" w:rsidP="00B40E58">
      <w:pPr>
        <w:pStyle w:val="Title"/>
        <w:rPr>
          <w:rFonts w:ascii="Times New Roman" w:eastAsiaTheme="minorHAnsi" w:hAnsi="Times New Roman" w:cs="Times New Roman"/>
          <w:sz w:val="24"/>
          <w:szCs w:val="24"/>
        </w:rPr>
      </w:pPr>
      <w:r w:rsidRPr="00B40E58">
        <w:rPr>
          <w:rFonts w:ascii="Times New Roman" w:eastAsiaTheme="minorHAnsi" w:hAnsi="Times New Roman" w:cs="Times New Roman"/>
          <w:sz w:val="24"/>
          <w:szCs w:val="24"/>
        </w:rPr>
        <w:t>Safeguarding Fair Competition: Singapore’s Regulatory Approach and Landmark Ferry Case</w:t>
      </w:r>
    </w:p>
    <w:p w14:paraId="4EA5D89E" w14:textId="77777777" w:rsidR="00ED5B95" w:rsidRPr="00B40E58" w:rsidRDefault="00ED5B95" w:rsidP="00ED5B95">
      <w:pPr>
        <w:spacing w:line="480" w:lineRule="auto"/>
        <w:rPr>
          <w:rFonts w:ascii="Times New Roman" w:hAnsi="Times New Roman" w:cs="Times New Roman"/>
          <w:color w:val="000000" w:themeColor="text1"/>
          <w:shd w:val="clear" w:color="auto" w:fill="FFFFFF"/>
        </w:rPr>
      </w:pPr>
    </w:p>
    <w:p w14:paraId="753389E0" w14:textId="77777777" w:rsidR="00ED5B95" w:rsidRPr="00B40E58" w:rsidRDefault="00ED5B95" w:rsidP="00ED5B95">
      <w:pPr>
        <w:spacing w:line="480" w:lineRule="auto"/>
        <w:rPr>
          <w:rFonts w:ascii="Times New Roman" w:hAnsi="Times New Roman" w:cs="Times New Roman"/>
          <w:color w:val="000000" w:themeColor="text1"/>
          <w:shd w:val="clear" w:color="auto" w:fill="FFFFFF"/>
        </w:rPr>
      </w:pPr>
    </w:p>
    <w:p w14:paraId="29E22389" w14:textId="77777777" w:rsidR="00ED5B95" w:rsidRPr="00B40E58" w:rsidRDefault="00ED5B95" w:rsidP="00ED5B95">
      <w:pPr>
        <w:spacing w:line="480" w:lineRule="auto"/>
        <w:rPr>
          <w:rFonts w:ascii="Times New Roman" w:hAnsi="Times New Roman" w:cs="Times New Roman"/>
          <w:color w:val="000000" w:themeColor="text1"/>
          <w:shd w:val="clear" w:color="auto" w:fill="FFFFFF"/>
        </w:rPr>
      </w:pPr>
    </w:p>
    <w:p w14:paraId="4B73F32C" w14:textId="77777777" w:rsidR="00ED5B95" w:rsidRPr="00B40E58" w:rsidRDefault="00ED5B95" w:rsidP="00ED5B95">
      <w:pPr>
        <w:spacing w:line="480" w:lineRule="auto"/>
        <w:jc w:val="center"/>
        <w:rPr>
          <w:rFonts w:ascii="Times New Roman" w:hAnsi="Times New Roman" w:cs="Times New Roman"/>
          <w:color w:val="000000" w:themeColor="text1"/>
          <w:shd w:val="clear" w:color="auto" w:fill="FFFFFF"/>
        </w:rPr>
      </w:pPr>
    </w:p>
    <w:p w14:paraId="3A44CDA7" w14:textId="77777777" w:rsidR="00ED5B95" w:rsidRPr="00B40E58"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B40E58">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7C92645E" w14:textId="77777777" w:rsidR="00ED5B95" w:rsidRPr="00B40E58"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B40E58">
        <w:rPr>
          <w:rFonts w:ascii="Times New Roman" w:hAnsi="Times New Roman" w:cs="Times New Roman"/>
          <w:color w:val="000000" w:themeColor="text1"/>
          <w:sz w:val="24"/>
          <w:szCs w:val="24"/>
          <w:shd w:val="clear" w:color="auto" w:fill="FFFFFF"/>
        </w:rPr>
        <w:t>Bachelor of Science</w:t>
      </w:r>
    </w:p>
    <w:p w14:paraId="17216F26" w14:textId="77777777" w:rsidR="00ED5B95" w:rsidRPr="00B40E58"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B40E58">
        <w:rPr>
          <w:rFonts w:ascii="Times New Roman" w:hAnsi="Times New Roman" w:cs="Times New Roman"/>
          <w:color w:val="000000" w:themeColor="text1"/>
          <w:sz w:val="24"/>
          <w:szCs w:val="24"/>
          <w:shd w:val="clear" w:color="auto" w:fill="FFFFFF"/>
        </w:rPr>
        <w:t>in</w:t>
      </w:r>
    </w:p>
    <w:p w14:paraId="78B1C829" w14:textId="77777777" w:rsidR="00ED5B95" w:rsidRPr="00B40E58"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B40E58">
        <w:rPr>
          <w:rFonts w:ascii="Times New Roman" w:hAnsi="Times New Roman" w:cs="Times New Roman"/>
          <w:color w:val="000000" w:themeColor="text1"/>
          <w:sz w:val="24"/>
          <w:szCs w:val="24"/>
          <w:shd w:val="clear" w:color="auto" w:fill="FFFFFF"/>
        </w:rPr>
        <w:t>Computer Science</w:t>
      </w:r>
    </w:p>
    <w:p w14:paraId="5758D869" w14:textId="77777777" w:rsidR="00ED5B95" w:rsidRPr="00B40E58" w:rsidRDefault="00ED5B95" w:rsidP="00ED5B95">
      <w:pPr>
        <w:spacing w:line="480" w:lineRule="auto"/>
        <w:jc w:val="center"/>
        <w:rPr>
          <w:rFonts w:ascii="Times New Roman" w:hAnsi="Times New Roman" w:cs="Times New Roman"/>
          <w:color w:val="000000" w:themeColor="text1"/>
          <w:shd w:val="clear" w:color="auto" w:fill="FFFFFF"/>
        </w:rPr>
      </w:pPr>
    </w:p>
    <w:p w14:paraId="06731661" w14:textId="77777777" w:rsidR="00ED5B95" w:rsidRPr="00B40E58" w:rsidRDefault="00ED5B95" w:rsidP="00ED5B95">
      <w:pPr>
        <w:spacing w:line="480" w:lineRule="auto"/>
        <w:jc w:val="center"/>
        <w:rPr>
          <w:rFonts w:ascii="Times New Roman" w:hAnsi="Times New Roman" w:cs="Times New Roman"/>
          <w:color w:val="000000" w:themeColor="text1"/>
          <w:shd w:val="clear" w:color="auto" w:fill="FFFFFF"/>
        </w:rPr>
      </w:pPr>
    </w:p>
    <w:p w14:paraId="082E3FBD" w14:textId="77777777" w:rsidR="00ED5B95" w:rsidRPr="00B40E58" w:rsidRDefault="00ED5B95" w:rsidP="00ED5B95">
      <w:pPr>
        <w:spacing w:line="480" w:lineRule="auto"/>
        <w:jc w:val="center"/>
        <w:rPr>
          <w:rFonts w:ascii="Times New Roman" w:hAnsi="Times New Roman" w:cs="Times New Roman"/>
          <w:color w:val="000000" w:themeColor="text1"/>
          <w:shd w:val="clear" w:color="auto" w:fill="FFFFFF"/>
        </w:rPr>
      </w:pPr>
    </w:p>
    <w:p w14:paraId="31ECFB01" w14:textId="114288C0" w:rsidR="00ED5B95" w:rsidRPr="00B40E58" w:rsidRDefault="00ED5B95" w:rsidP="00ED5B95">
      <w:pPr>
        <w:pStyle w:val="NormalWeb"/>
        <w:jc w:val="center"/>
      </w:pPr>
      <w:r w:rsidRPr="00B40E58">
        <w:t>ECON 1580 Applied Economics: Theory and Practice</w:t>
      </w:r>
    </w:p>
    <w:p w14:paraId="2170783C" w14:textId="6FB90557" w:rsidR="00ED5B95" w:rsidRPr="00B40E58"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B40E58">
        <w:rPr>
          <w:rFonts w:ascii="Times New Roman" w:hAnsi="Times New Roman" w:cs="Times New Roman"/>
          <w:color w:val="000000" w:themeColor="text1"/>
          <w:sz w:val="24"/>
          <w:szCs w:val="24"/>
          <w:shd w:val="clear" w:color="auto" w:fill="FFFFFF"/>
        </w:rPr>
        <w:t xml:space="preserve">Term </w:t>
      </w:r>
      <w:r w:rsidR="002B0263">
        <w:rPr>
          <w:rFonts w:ascii="Times New Roman" w:hAnsi="Times New Roman" w:cs="Times New Roman"/>
          <w:color w:val="000000" w:themeColor="text1"/>
          <w:sz w:val="24"/>
          <w:szCs w:val="24"/>
          <w:shd w:val="clear" w:color="auto" w:fill="FFFFFF"/>
        </w:rPr>
        <w:t>2</w:t>
      </w:r>
      <w:r w:rsidRPr="00B40E58">
        <w:rPr>
          <w:rFonts w:ascii="Times New Roman" w:hAnsi="Times New Roman" w:cs="Times New Roman"/>
          <w:color w:val="000000" w:themeColor="text1"/>
          <w:sz w:val="24"/>
          <w:szCs w:val="24"/>
          <w:shd w:val="clear" w:color="auto" w:fill="FFFFFF"/>
        </w:rPr>
        <w:t xml:space="preserve"> - 2025</w:t>
      </w:r>
    </w:p>
    <w:p w14:paraId="72C156C2" w14:textId="77777777" w:rsidR="00ED5B95" w:rsidRPr="00B40E58"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B40E58">
        <w:rPr>
          <w:rFonts w:ascii="Times New Roman" w:hAnsi="Times New Roman" w:cs="Times New Roman"/>
          <w:color w:val="000000" w:themeColor="text1"/>
          <w:sz w:val="24"/>
          <w:szCs w:val="24"/>
          <w:shd w:val="clear" w:color="auto" w:fill="FFFFFF"/>
        </w:rPr>
        <w:t>University of The People</w:t>
      </w:r>
    </w:p>
    <w:p w14:paraId="7E2A3CD2" w14:textId="77777777" w:rsidR="00ED5B95" w:rsidRPr="00B40E58" w:rsidRDefault="00ED5B95" w:rsidP="00ED5B95">
      <w:pPr>
        <w:pStyle w:val="Title"/>
        <w:spacing w:after="0" w:line="480" w:lineRule="auto"/>
        <w:jc w:val="center"/>
        <w:rPr>
          <w:rFonts w:ascii="Times New Roman" w:eastAsiaTheme="minorHAnsi" w:hAnsi="Times New Roman" w:cs="Times New Roman"/>
          <w:color w:val="000000" w:themeColor="text1"/>
          <w:sz w:val="24"/>
          <w:szCs w:val="24"/>
        </w:rPr>
      </w:pPr>
    </w:p>
    <w:p w14:paraId="356C374E" w14:textId="77777777" w:rsidR="00ED5B95" w:rsidRPr="00B40E58" w:rsidRDefault="00ED5B95" w:rsidP="00ED5B95">
      <w:pPr>
        <w:spacing w:line="480" w:lineRule="auto"/>
        <w:rPr>
          <w:rFonts w:ascii="Times New Roman" w:hAnsi="Times New Roman" w:cs="Times New Roman"/>
          <w:color w:val="000000" w:themeColor="text1"/>
        </w:rPr>
      </w:pPr>
    </w:p>
    <w:p w14:paraId="13927E49" w14:textId="5CFE3461" w:rsidR="00ED5B95" w:rsidRDefault="00B40E58" w:rsidP="00ED5B95">
      <w:pPr>
        <w:pStyle w:val="Title"/>
        <w:spacing w:after="0" w:line="480" w:lineRule="auto"/>
        <w:jc w:val="center"/>
        <w:rPr>
          <w:rFonts w:ascii="Times New Roman" w:eastAsiaTheme="minorHAnsi" w:hAnsi="Times New Roman" w:cs="Times New Roman"/>
          <w:color w:val="000000" w:themeColor="text1"/>
          <w:sz w:val="24"/>
          <w:szCs w:val="24"/>
        </w:rPr>
      </w:pPr>
      <w:r>
        <w:rPr>
          <w:rFonts w:ascii="Times New Roman" w:eastAsiaTheme="minorHAnsi" w:hAnsi="Times New Roman" w:cs="Times New Roman"/>
          <w:color w:val="000000" w:themeColor="text1"/>
          <w:sz w:val="24"/>
          <w:szCs w:val="24"/>
        </w:rPr>
        <w:t>26</w:t>
      </w:r>
      <w:r w:rsidR="00ED5B95" w:rsidRPr="00B40E58">
        <w:rPr>
          <w:rFonts w:ascii="Times New Roman" w:eastAsiaTheme="minorHAnsi" w:hAnsi="Times New Roman" w:cs="Times New Roman"/>
          <w:color w:val="000000" w:themeColor="text1"/>
          <w:sz w:val="24"/>
          <w:szCs w:val="24"/>
        </w:rPr>
        <w:t>th November, 2025</w:t>
      </w:r>
    </w:p>
    <w:p w14:paraId="025EC88B" w14:textId="77777777" w:rsidR="00B40E58" w:rsidRPr="00B40E58" w:rsidRDefault="00B40E58" w:rsidP="00B40E58"/>
    <w:p w14:paraId="407265ED" w14:textId="77777777" w:rsidR="00B40E58" w:rsidRPr="00B40E58" w:rsidRDefault="00B40E58" w:rsidP="002B0263">
      <w:pPr>
        <w:pStyle w:val="Title"/>
        <w:spacing w:after="0" w:line="480" w:lineRule="auto"/>
        <w:jc w:val="center"/>
        <w:rPr>
          <w:rFonts w:ascii="Times New Roman" w:eastAsiaTheme="minorHAnsi" w:hAnsi="Times New Roman" w:cs="Times New Roman"/>
          <w:b/>
          <w:bCs/>
          <w:sz w:val="24"/>
          <w:szCs w:val="24"/>
        </w:rPr>
      </w:pPr>
      <w:r w:rsidRPr="00B40E58">
        <w:rPr>
          <w:rFonts w:ascii="Times New Roman" w:eastAsiaTheme="minorHAnsi" w:hAnsi="Times New Roman" w:cs="Times New Roman"/>
          <w:b/>
          <w:bCs/>
          <w:sz w:val="24"/>
          <w:szCs w:val="24"/>
        </w:rPr>
        <w:lastRenderedPageBreak/>
        <w:t>Safeguarding Fair Competition: Singapore’s Regulatory Approach and Landmark Ferry Case</w:t>
      </w:r>
    </w:p>
    <w:p w14:paraId="0738BF34" w14:textId="104448A1" w:rsidR="00B40E58" w:rsidRPr="004666A4" w:rsidRDefault="00B40E58" w:rsidP="004666A4">
      <w:pPr>
        <w:spacing w:after="0" w:line="480" w:lineRule="auto"/>
        <w:rPr>
          <w:rFonts w:ascii="Times New Roman" w:hAnsi="Times New Roman" w:cs="Times New Roman"/>
          <w:b/>
          <w:bCs/>
        </w:rPr>
      </w:pPr>
      <w:r w:rsidRPr="004666A4">
        <w:rPr>
          <w:rFonts w:ascii="Times New Roman" w:hAnsi="Times New Roman" w:cs="Times New Roman"/>
          <w:b/>
          <w:bCs/>
        </w:rPr>
        <w:t>Introduction</w:t>
      </w:r>
    </w:p>
    <w:p w14:paraId="1257A5D9" w14:textId="3E823EF7" w:rsidR="00B40E58" w:rsidRPr="00B40E58" w:rsidRDefault="00B40E58" w:rsidP="002B0263">
      <w:pPr>
        <w:spacing w:after="0" w:line="480" w:lineRule="auto"/>
        <w:ind w:firstLine="720"/>
        <w:rPr>
          <w:rFonts w:ascii="Times New Roman" w:hAnsi="Times New Roman" w:cs="Times New Roman"/>
        </w:rPr>
      </w:pPr>
      <w:r w:rsidRPr="00B40E58">
        <w:rPr>
          <w:rFonts w:ascii="Times New Roman" w:hAnsi="Times New Roman" w:cs="Times New Roman"/>
        </w:rPr>
        <w:t>Singapore’s dynamic economy is built upon a robust regulatory framework that prioritizes fairness, consumer rights, and market efficiency. At the heart of these efforts lies the Competition Act 2004, a law crafted to address anti-competitive behavior and to ensure that businesses succeed based on their merits. The Competition and Consumer Commission of Singapore (CCCS) oversees this legislation, shaping an environment where healthy competition thrives</w:t>
      </w:r>
      <w:r w:rsidRPr="00B40E58">
        <w:rPr>
          <w:rFonts w:ascii="Times New Roman" w:hAnsi="Times New Roman" w:cs="Times New Roman"/>
        </w:rPr>
        <w:t>,</w:t>
      </w:r>
      <w:r w:rsidRPr="00B40E58">
        <w:rPr>
          <w:rFonts w:ascii="Times New Roman" w:hAnsi="Times New Roman" w:cs="Times New Roman"/>
        </w:rPr>
        <w:t xml:space="preserve"> and consumers benefit from diverse choices. This paper delves into the essential aspects of Singapore’s competition law, the practical measures for its enforcement, and its tangible impact, drawing particular attention to the Batam Fast Ferry and Penguin Ferry Services antitrust case. Through this lens, the discussion highlights how regulation encourages trust and innovation within the marketplace.</w:t>
      </w:r>
    </w:p>
    <w:p w14:paraId="3023A1C9" w14:textId="11B4E690" w:rsidR="00EA09EC" w:rsidRPr="004666A4" w:rsidRDefault="00EA09EC" w:rsidP="004666A4">
      <w:pPr>
        <w:spacing w:after="0" w:line="480" w:lineRule="auto"/>
        <w:rPr>
          <w:rFonts w:ascii="Times New Roman" w:eastAsia="Times New Roman" w:hAnsi="Times New Roman" w:cs="Times New Roman"/>
          <w:b/>
          <w:bCs/>
          <w:color w:val="1D2125"/>
          <w:kern w:val="0"/>
          <w14:ligatures w14:val="none"/>
        </w:rPr>
      </w:pPr>
      <w:r w:rsidRPr="00594E55">
        <w:rPr>
          <w:rFonts w:ascii="Times New Roman" w:eastAsia="Times New Roman" w:hAnsi="Times New Roman" w:cs="Times New Roman"/>
          <w:b/>
          <w:bCs/>
          <w:color w:val="1D2125"/>
          <w:kern w:val="0"/>
          <w14:ligatures w14:val="none"/>
        </w:rPr>
        <w:t xml:space="preserve">key regulatory policy </w:t>
      </w:r>
      <w:r w:rsidRPr="004666A4">
        <w:rPr>
          <w:rFonts w:ascii="Times New Roman" w:eastAsia="Times New Roman" w:hAnsi="Times New Roman" w:cs="Times New Roman"/>
          <w:b/>
          <w:bCs/>
          <w:color w:val="1D2125"/>
          <w:kern w:val="0"/>
          <w14:ligatures w14:val="none"/>
        </w:rPr>
        <w:t>in Singapore</w:t>
      </w:r>
    </w:p>
    <w:p w14:paraId="16618CA3" w14:textId="1967CF23" w:rsidR="00EA09EC" w:rsidRPr="00B40E58" w:rsidRDefault="00EA09EC" w:rsidP="002B0263">
      <w:pPr>
        <w:spacing w:after="0" w:line="480" w:lineRule="auto"/>
        <w:ind w:firstLine="720"/>
        <w:rPr>
          <w:rFonts w:ascii="Times New Roman" w:hAnsi="Times New Roman" w:cs="Times New Roman"/>
        </w:rPr>
      </w:pPr>
      <w:r w:rsidRPr="00B40E58">
        <w:rPr>
          <w:rFonts w:ascii="Times New Roman" w:hAnsi="Times New Roman" w:cs="Times New Roman"/>
        </w:rPr>
        <w:t>A key regulatory policy in Singapore that safeguards fairness, consumer protection, and economic efficiency is the Competition Act 2004. This legislation targets anti-competitive agreements, abuse of dominant positions, and mergers that substantially lessen competition. CCCS oversees the implementation of this law and investigates practices such as cartels that fix prices or allocate markets</w:t>
      </w:r>
      <w:r w:rsidRPr="00B40E58">
        <w:rPr>
          <w:rFonts w:ascii="Times New Roman" w:hAnsi="Times New Roman" w:cs="Times New Roman"/>
        </w:rPr>
        <w:t xml:space="preserve"> </w:t>
      </w:r>
      <w:r w:rsidRPr="00B40E58">
        <w:rPr>
          <w:rFonts w:ascii="Times New Roman" w:hAnsi="Times New Roman" w:cs="Times New Roman"/>
        </w:rPr>
        <w:t>(CCCS, 2025a). Take, for example, a situation in which several firms agree to raise prices together, resulting in higher costs for consumers and less incentive for companies to offer better quality or innovative products. By prohibiting these agreements, the Competition Act helps ensure that businesses compete based on merit, which maintains vibrant markets and protects consumer interests</w:t>
      </w:r>
      <w:r w:rsidR="00847461" w:rsidRPr="00B40E58">
        <w:rPr>
          <w:rFonts w:ascii="Times New Roman" w:hAnsi="Times New Roman" w:cs="Times New Roman"/>
        </w:rPr>
        <w:t xml:space="preserve"> </w:t>
      </w:r>
      <w:r w:rsidR="00847461" w:rsidRPr="00B40E58">
        <w:rPr>
          <w:rFonts w:ascii="Times New Roman" w:hAnsi="Times New Roman" w:cs="Times New Roman"/>
        </w:rPr>
        <w:t>(CCCS, 2025a)</w:t>
      </w:r>
      <w:r w:rsidRPr="00B40E58">
        <w:rPr>
          <w:rFonts w:ascii="Times New Roman" w:hAnsi="Times New Roman" w:cs="Times New Roman"/>
        </w:rPr>
        <w:t xml:space="preserve">. This approach also encourages efficiency and ensures that consumers enjoy a wide selection of goods and services at reasonable </w:t>
      </w:r>
      <w:r w:rsidRPr="00B40E58">
        <w:rPr>
          <w:rFonts w:ascii="Times New Roman" w:hAnsi="Times New Roman" w:cs="Times New Roman"/>
        </w:rPr>
        <w:lastRenderedPageBreak/>
        <w:t>prices</w:t>
      </w:r>
      <w:r w:rsidR="00847461" w:rsidRPr="00B40E58">
        <w:rPr>
          <w:rFonts w:ascii="Times New Roman" w:hAnsi="Times New Roman" w:cs="Times New Roman"/>
        </w:rPr>
        <w:t xml:space="preserve">. </w:t>
      </w:r>
      <w:r w:rsidRPr="00B40E58">
        <w:rPr>
          <w:rFonts w:ascii="Times New Roman" w:hAnsi="Times New Roman" w:cs="Times New Roman"/>
        </w:rPr>
        <w:t>Such protections are especially vital in industries with limited competition or high barriers to entry.</w:t>
      </w:r>
    </w:p>
    <w:p w14:paraId="375D1724" w14:textId="5B424612" w:rsidR="00EA09EC" w:rsidRPr="00B40E58" w:rsidRDefault="00EA09EC" w:rsidP="002B0263">
      <w:pPr>
        <w:spacing w:after="0" w:line="480" w:lineRule="auto"/>
        <w:ind w:firstLine="720"/>
        <w:rPr>
          <w:rFonts w:ascii="Times New Roman" w:hAnsi="Times New Roman" w:cs="Times New Roman"/>
        </w:rPr>
      </w:pPr>
      <w:r w:rsidRPr="00B40E58">
        <w:rPr>
          <w:rFonts w:ascii="Times New Roman" w:hAnsi="Times New Roman" w:cs="Times New Roman"/>
        </w:rPr>
        <w:t>The Competition Act’s effectiveness is further strengthened by the CCCS’s authority to impose financial penalties on companies that violate its rules, discouraging future misconduct. The policy includes a strong emphasis on enforcement and market advocacy, informing businesses of both the requirements and the consequences for breaking the law</w:t>
      </w:r>
      <w:r w:rsidR="00847461" w:rsidRPr="00B40E58">
        <w:rPr>
          <w:rFonts w:ascii="Times New Roman" w:hAnsi="Times New Roman" w:cs="Times New Roman"/>
        </w:rPr>
        <w:t xml:space="preserve"> </w:t>
      </w:r>
      <w:r w:rsidR="00847461" w:rsidRPr="00B40E58">
        <w:rPr>
          <w:rFonts w:ascii="Times New Roman" w:hAnsi="Times New Roman" w:cs="Times New Roman"/>
        </w:rPr>
        <w:t>(CCCS, 2025</w:t>
      </w:r>
      <w:r w:rsidR="00847461" w:rsidRPr="00B40E58">
        <w:rPr>
          <w:rFonts w:ascii="Times New Roman" w:hAnsi="Times New Roman" w:cs="Times New Roman"/>
        </w:rPr>
        <w:t>b</w:t>
      </w:r>
      <w:r w:rsidR="00847461" w:rsidRPr="00B40E58">
        <w:rPr>
          <w:rFonts w:ascii="Times New Roman" w:hAnsi="Times New Roman" w:cs="Times New Roman"/>
        </w:rPr>
        <w:t>)</w:t>
      </w:r>
      <w:r w:rsidRPr="00B40E58">
        <w:rPr>
          <w:rFonts w:ascii="Times New Roman" w:hAnsi="Times New Roman" w:cs="Times New Roman"/>
        </w:rPr>
        <w:t>. This transparency fosters compliance and creates a fair market environment that benefits all participants. Notably, the Competition Act offers guidance for companies and trade associations to help them determine whether their actions are lawful, reducing ambiguity and building trust</w:t>
      </w:r>
      <w:r w:rsidR="00847461" w:rsidRPr="00B40E58">
        <w:rPr>
          <w:rFonts w:ascii="Times New Roman" w:hAnsi="Times New Roman" w:cs="Times New Roman"/>
        </w:rPr>
        <w:t xml:space="preserve"> </w:t>
      </w:r>
      <w:r w:rsidR="00847461" w:rsidRPr="00B40E58">
        <w:rPr>
          <w:rFonts w:ascii="Times New Roman" w:hAnsi="Times New Roman" w:cs="Times New Roman"/>
        </w:rPr>
        <w:t>(CCCS, 2025</w:t>
      </w:r>
      <w:r w:rsidR="00847461" w:rsidRPr="00B40E58">
        <w:rPr>
          <w:rFonts w:ascii="Times New Roman" w:hAnsi="Times New Roman" w:cs="Times New Roman"/>
        </w:rPr>
        <w:t>b</w:t>
      </w:r>
      <w:r w:rsidR="00847461" w:rsidRPr="00B40E58">
        <w:rPr>
          <w:rFonts w:ascii="Times New Roman" w:hAnsi="Times New Roman" w:cs="Times New Roman"/>
        </w:rPr>
        <w:t>).</w:t>
      </w:r>
      <w:r w:rsidRPr="00B40E58">
        <w:rPr>
          <w:rFonts w:ascii="Times New Roman" w:hAnsi="Times New Roman" w:cs="Times New Roman"/>
        </w:rPr>
        <w:t xml:space="preserve"> Clear rules against anti-competitive behaviour, paired with active education and enforcement, make Singapore’s approach a crucial tool for protecting competition, consumer rights, and economic efficiency</w:t>
      </w:r>
      <w:r w:rsidR="00847461" w:rsidRPr="00B40E58">
        <w:rPr>
          <w:rFonts w:ascii="Times New Roman" w:hAnsi="Times New Roman" w:cs="Times New Roman"/>
        </w:rPr>
        <w:t xml:space="preserve">. </w:t>
      </w:r>
      <w:r w:rsidRPr="00B40E58">
        <w:rPr>
          <w:rFonts w:ascii="Times New Roman" w:hAnsi="Times New Roman" w:cs="Times New Roman"/>
        </w:rPr>
        <w:t>The commitment to fairness and compliance cultivates a culture of healthy rivalry and broad consumer choice in the Singaporean marketplace.</w:t>
      </w:r>
    </w:p>
    <w:p w14:paraId="2E73399D" w14:textId="77777777" w:rsidR="005E1B97" w:rsidRPr="004666A4" w:rsidRDefault="005E1B97" w:rsidP="004666A4">
      <w:pPr>
        <w:spacing w:after="0" w:line="480" w:lineRule="auto"/>
        <w:rPr>
          <w:rFonts w:ascii="Times New Roman" w:hAnsi="Times New Roman" w:cs="Times New Roman"/>
          <w:b/>
          <w:bCs/>
        </w:rPr>
      </w:pPr>
      <w:r w:rsidRPr="004666A4">
        <w:rPr>
          <w:rFonts w:ascii="Times New Roman" w:hAnsi="Times New Roman" w:cs="Times New Roman"/>
          <w:b/>
          <w:bCs/>
        </w:rPr>
        <w:t>Batam Fast Ferry Pte Ltd and Penguin Ferry Services Pte Ltd antitrust case</w:t>
      </w:r>
    </w:p>
    <w:p w14:paraId="15760E29" w14:textId="77777777" w:rsidR="005E1B97" w:rsidRPr="00B40E58" w:rsidRDefault="005E1B97" w:rsidP="002B0263">
      <w:pPr>
        <w:spacing w:after="0" w:line="480" w:lineRule="auto"/>
        <w:ind w:firstLine="720"/>
        <w:rPr>
          <w:rFonts w:ascii="Times New Roman" w:hAnsi="Times New Roman" w:cs="Times New Roman"/>
        </w:rPr>
      </w:pPr>
      <w:r w:rsidRPr="00B40E58">
        <w:rPr>
          <w:rFonts w:ascii="Times New Roman" w:hAnsi="Times New Roman" w:cs="Times New Roman"/>
        </w:rPr>
        <w:t xml:space="preserve">A significant antitrust case in Singapore unfolded when the Competition Commission of Singapore (CCS) imposed financial penalties on Batam Fast Ferry Pte Ltd and Penguin Ferry Services Pte Ltd, the only two companies operating ferry routes between Singapore and Batam. These ferry operators exchanged sensitive, confidential price information regarding ticket sales to corporate clients and travel agents (CCCS, 2012). For example, there were documented occasions where one operator would blind-copy the other on emails detailing confidential pricing, or directly verify ticket prices when clients requested quotes. Such behavior weakened independent pricing decisions and fostered collusion rather than genuine competition. The CCS launched its investigation after a public complaint and found that these exchanges undermined </w:t>
      </w:r>
      <w:r w:rsidRPr="00B40E58">
        <w:rPr>
          <w:rFonts w:ascii="Times New Roman" w:hAnsi="Times New Roman" w:cs="Times New Roman"/>
        </w:rPr>
        <w:lastRenderedPageBreak/>
        <w:t>healthy competition in Singapore’s ferry industry (CCCS, 2012). Having been found guilty of the accusation, CCS responded with financial penalties.</w:t>
      </w:r>
    </w:p>
    <w:p w14:paraId="6D09F15D" w14:textId="571772DD" w:rsidR="005E1B97" w:rsidRPr="00B40E58" w:rsidRDefault="005E1B97" w:rsidP="004666A4">
      <w:pPr>
        <w:spacing w:after="0" w:line="480" w:lineRule="auto"/>
        <w:ind w:firstLine="720"/>
        <w:rPr>
          <w:rFonts w:ascii="Times New Roman" w:hAnsi="Times New Roman" w:cs="Times New Roman"/>
        </w:rPr>
      </w:pPr>
      <w:r w:rsidRPr="00B40E58">
        <w:rPr>
          <w:rFonts w:ascii="Times New Roman" w:hAnsi="Times New Roman" w:cs="Times New Roman"/>
        </w:rPr>
        <w:t xml:space="preserve">The CCS has full discretion to determine the amount of the financial penalty to be imposed for an antitrust case guided by its financial penalty framework </w:t>
      </w:r>
      <w:r w:rsidR="005E3AD0" w:rsidRPr="00B40E58">
        <w:rPr>
          <w:rFonts w:ascii="Times New Roman" w:hAnsi="Times New Roman" w:cs="Times New Roman"/>
        </w:rPr>
        <w:t>and in alignment with</w:t>
      </w:r>
      <w:r w:rsidRPr="00B40E58">
        <w:rPr>
          <w:rFonts w:ascii="Times New Roman" w:hAnsi="Times New Roman" w:cs="Times New Roman"/>
        </w:rPr>
        <w:t xml:space="preserve"> section 69(4) of the </w:t>
      </w:r>
      <w:r w:rsidRPr="00B40E58">
        <w:rPr>
          <w:rFonts w:ascii="Times New Roman" w:hAnsi="Times New Roman" w:cs="Times New Roman"/>
        </w:rPr>
        <w:t xml:space="preserve">Competition </w:t>
      </w:r>
      <w:r w:rsidRPr="00B40E58">
        <w:rPr>
          <w:rFonts w:ascii="Times New Roman" w:hAnsi="Times New Roman" w:cs="Times New Roman"/>
        </w:rPr>
        <w:t xml:space="preserve">Act (CCCS, 2025c). On that note, CSS imposed fines of $172,906 to Batam Fast and $113,860 to Penguin as a financial penalty measure to deter anti-competitive conduct and encourage fair market practices (CCCS, 2012). The penalties were determined by considering the nature of the infringement, the surrounding circumstances, and any aggravating or mitigating factors. Notably, this was Singapore’s first case where confidential price information exchanges between competitors violated competition law. </w:t>
      </w:r>
      <w:r w:rsidR="009F0F9E" w:rsidRPr="00B40E58">
        <w:rPr>
          <w:rFonts w:ascii="Times New Roman" w:hAnsi="Times New Roman" w:cs="Times New Roman"/>
        </w:rPr>
        <w:t xml:space="preserve">This intervention reveals how </w:t>
      </w:r>
      <w:r w:rsidRPr="00B40E58">
        <w:rPr>
          <w:rFonts w:ascii="Times New Roman" w:hAnsi="Times New Roman" w:cs="Times New Roman"/>
        </w:rPr>
        <w:t>CCS</w:t>
      </w:r>
      <w:r w:rsidR="009F0F9E" w:rsidRPr="00B40E58">
        <w:rPr>
          <w:rFonts w:ascii="Times New Roman" w:hAnsi="Times New Roman" w:cs="Times New Roman"/>
        </w:rPr>
        <w:t xml:space="preserve"> has </w:t>
      </w:r>
      <w:r w:rsidRPr="00B40E58">
        <w:rPr>
          <w:rFonts w:ascii="Times New Roman" w:hAnsi="Times New Roman" w:cs="Times New Roman"/>
        </w:rPr>
        <w:t>emphasized that such collusion is especially harmful in markets dominated by a few firms, as it limits consumer options and distorts fair pricing</w:t>
      </w:r>
      <w:r w:rsidR="009F0F9E" w:rsidRPr="00B40E58">
        <w:rPr>
          <w:rFonts w:ascii="Times New Roman" w:hAnsi="Times New Roman" w:cs="Times New Roman"/>
        </w:rPr>
        <w:t xml:space="preserve">. </w:t>
      </w:r>
    </w:p>
    <w:p w14:paraId="39532227" w14:textId="77777777" w:rsidR="009F0F9E" w:rsidRPr="00B40E58" w:rsidRDefault="009F0F9E" w:rsidP="004666A4">
      <w:pPr>
        <w:spacing w:after="0" w:line="480" w:lineRule="auto"/>
        <w:rPr>
          <w:rFonts w:ascii="Times New Roman" w:hAnsi="Times New Roman" w:cs="Times New Roman"/>
          <w:b/>
          <w:bCs/>
        </w:rPr>
      </w:pPr>
      <w:r w:rsidRPr="00B40E58">
        <w:rPr>
          <w:rFonts w:ascii="Times New Roman" w:hAnsi="Times New Roman" w:cs="Times New Roman"/>
          <w:b/>
          <w:bCs/>
        </w:rPr>
        <w:t>Effectiveness of Singapore’s Competition Law</w:t>
      </w:r>
    </w:p>
    <w:p w14:paraId="4383907B" w14:textId="77777777" w:rsidR="00B40E58" w:rsidRPr="00B40E58" w:rsidRDefault="009F0F9E" w:rsidP="002B0263">
      <w:pPr>
        <w:spacing w:after="0" w:line="480" w:lineRule="auto"/>
        <w:ind w:firstLine="720"/>
        <w:rPr>
          <w:rFonts w:ascii="Times New Roman" w:hAnsi="Times New Roman" w:cs="Times New Roman"/>
        </w:rPr>
      </w:pPr>
      <w:r w:rsidRPr="00B40E58">
        <w:rPr>
          <w:rFonts w:ascii="Times New Roman" w:hAnsi="Times New Roman" w:cs="Times New Roman"/>
        </w:rPr>
        <w:t xml:space="preserve">Singapore’s competition laws, particularly as implemented through the Competition and Consumer Commission of Singapore’s Fast Track Procedure (see figure 1), demonstrate a proactive approach to protecting both consumers and businesses. The Fast Track Procedure incentivises parties to admit liability for infringements under sections 34 and 47 of the Competition Act, offering a fixed percentage reduction in financial penalties for cooperation (CCCS, 2016). For example, if a business admits to anti-competitive conduct, it may receive a ten percent reduction in penalties, encouraging quicker resolution and resource savings. This process not only streamlines investigations but also ensures that infringement decisions are reached more efficiently, benefiting consumers by addressing market abuses sooner. </w:t>
      </w:r>
      <w:r w:rsidRPr="00B40E58">
        <w:rPr>
          <w:rFonts w:ascii="Times New Roman" w:hAnsi="Times New Roman" w:cs="Times New Roman"/>
        </w:rPr>
        <w:t>Moreover, CCS p</w:t>
      </w:r>
      <w:r w:rsidRPr="00B40E58">
        <w:rPr>
          <w:rFonts w:ascii="Times New Roman" w:hAnsi="Times New Roman" w:cs="Times New Roman"/>
        </w:rPr>
        <w:t>ubliciz</w:t>
      </w:r>
      <w:r w:rsidRPr="00B40E58">
        <w:rPr>
          <w:rFonts w:ascii="Times New Roman" w:hAnsi="Times New Roman" w:cs="Times New Roman"/>
        </w:rPr>
        <w:t xml:space="preserve">es </w:t>
      </w:r>
      <w:r w:rsidRPr="00B40E58">
        <w:rPr>
          <w:rFonts w:ascii="Times New Roman" w:hAnsi="Times New Roman" w:cs="Times New Roman"/>
        </w:rPr>
        <w:t>the penalties</w:t>
      </w:r>
      <w:r w:rsidRPr="00B40E58">
        <w:rPr>
          <w:rFonts w:ascii="Times New Roman" w:hAnsi="Times New Roman" w:cs="Times New Roman"/>
        </w:rPr>
        <w:t xml:space="preserve"> to </w:t>
      </w:r>
      <w:r w:rsidRPr="00B40E58">
        <w:rPr>
          <w:rFonts w:ascii="Times New Roman" w:hAnsi="Times New Roman" w:cs="Times New Roman"/>
        </w:rPr>
        <w:t>guid</w:t>
      </w:r>
      <w:r w:rsidRPr="00B40E58">
        <w:rPr>
          <w:rFonts w:ascii="Times New Roman" w:hAnsi="Times New Roman" w:cs="Times New Roman"/>
        </w:rPr>
        <w:t>e</w:t>
      </w:r>
      <w:r w:rsidRPr="00B40E58">
        <w:rPr>
          <w:rFonts w:ascii="Times New Roman" w:hAnsi="Times New Roman" w:cs="Times New Roman"/>
        </w:rPr>
        <w:t xml:space="preserve"> other businesses and reinforce</w:t>
      </w:r>
      <w:r w:rsidRPr="00B40E58">
        <w:rPr>
          <w:rFonts w:ascii="Times New Roman" w:hAnsi="Times New Roman" w:cs="Times New Roman"/>
        </w:rPr>
        <w:t>s</w:t>
      </w:r>
      <w:r w:rsidRPr="00B40E58">
        <w:rPr>
          <w:rFonts w:ascii="Times New Roman" w:hAnsi="Times New Roman" w:cs="Times New Roman"/>
        </w:rPr>
        <w:t xml:space="preserve"> the need for independent </w:t>
      </w:r>
      <w:r w:rsidRPr="00B40E58">
        <w:rPr>
          <w:rFonts w:ascii="Times New Roman" w:hAnsi="Times New Roman" w:cs="Times New Roman"/>
        </w:rPr>
        <w:lastRenderedPageBreak/>
        <w:t>pricing. This approach demonstrates how robust enforcement can prevent monopolistic practices and promote healthy competition for the benefit of consumers and Singapore’s market, leading to broader implications for future regulatory actions.</w:t>
      </w:r>
      <w:r w:rsidRPr="00B40E58">
        <w:rPr>
          <w:rFonts w:ascii="Times New Roman" w:hAnsi="Times New Roman" w:cs="Times New Roman"/>
        </w:rPr>
        <w:t xml:space="preserve"> </w:t>
      </w:r>
      <w:r w:rsidRPr="00B40E58">
        <w:rPr>
          <w:rFonts w:ascii="Times New Roman" w:hAnsi="Times New Roman" w:cs="Times New Roman"/>
        </w:rPr>
        <w:t xml:space="preserve">However, the procedure relies on the willingness of all parties to participate, and its effectiveness may be limited if parties choose not to cooperate or if new evidence emerges late in the process. Although Singapore’s approach fosters fair competition, it could be enhanced by mechanisms to address non-cooperative parties more robustly. </w:t>
      </w:r>
    </w:p>
    <w:p w14:paraId="737D1F97" w14:textId="14B246BE" w:rsidR="00B40E58" w:rsidRPr="00B40E58" w:rsidRDefault="00B40E58" w:rsidP="004666A4">
      <w:pPr>
        <w:spacing w:after="0" w:line="480" w:lineRule="auto"/>
        <w:rPr>
          <w:rFonts w:ascii="Times New Roman" w:hAnsi="Times New Roman" w:cs="Times New Roman"/>
          <w:b/>
          <w:bCs/>
        </w:rPr>
      </w:pPr>
      <w:r w:rsidRPr="00B40E58">
        <w:rPr>
          <w:rFonts w:ascii="Times New Roman" w:hAnsi="Times New Roman" w:cs="Times New Roman"/>
          <w:b/>
          <w:bCs/>
        </w:rPr>
        <w:t>Conclusion</w:t>
      </w:r>
    </w:p>
    <w:p w14:paraId="03E4EFEC" w14:textId="1650ADFC" w:rsidR="00B40E58" w:rsidRDefault="00B40E58" w:rsidP="002B0263">
      <w:pPr>
        <w:spacing w:after="0" w:line="480" w:lineRule="auto"/>
        <w:ind w:firstLine="720"/>
        <w:rPr>
          <w:rFonts w:ascii="Times New Roman" w:hAnsi="Times New Roman" w:cs="Times New Roman"/>
        </w:rPr>
      </w:pPr>
      <w:r w:rsidRPr="00B40E58">
        <w:rPr>
          <w:rFonts w:ascii="Times New Roman" w:hAnsi="Times New Roman" w:cs="Times New Roman"/>
        </w:rPr>
        <w:t>Singapore’s Competition Act and the proactive efforts of the CCCS have played a crucial role in preserving fair and transparent market conditions. The Batam Fast Ferry case stands as clear evidence of the law’s effectiveness in deterring collusion and protecting consumer interests. By providing clear guidelines, administering decisive penalties, and advocating for market transparency, Singapore has cultivated a culture where compliance and competition go hand in hand. Although the regulatory landscape continues to develop, the unwavering commitment to fairness and efficiency ensures that both businesses and consumers enjoy the advantages of a vibrant marketplace and a wide array of choices, making Singapore a model of economic governance in the region.</w:t>
      </w:r>
    </w:p>
    <w:p w14:paraId="451EF828" w14:textId="77777777" w:rsidR="002B0263" w:rsidRDefault="002B0263" w:rsidP="004666A4">
      <w:pPr>
        <w:spacing w:after="0" w:line="480" w:lineRule="auto"/>
        <w:rPr>
          <w:rFonts w:ascii="Times New Roman" w:hAnsi="Times New Roman" w:cs="Times New Roman"/>
        </w:rPr>
      </w:pPr>
    </w:p>
    <w:p w14:paraId="66DC84A6" w14:textId="77777777" w:rsidR="002B0263" w:rsidRDefault="002B0263" w:rsidP="004666A4">
      <w:pPr>
        <w:spacing w:after="0" w:line="480" w:lineRule="auto"/>
        <w:rPr>
          <w:rFonts w:ascii="Times New Roman" w:hAnsi="Times New Roman" w:cs="Times New Roman"/>
        </w:rPr>
      </w:pPr>
    </w:p>
    <w:p w14:paraId="200B7B52" w14:textId="77777777" w:rsidR="002B0263" w:rsidRDefault="002B0263" w:rsidP="004666A4">
      <w:pPr>
        <w:spacing w:after="0" w:line="480" w:lineRule="auto"/>
        <w:rPr>
          <w:rFonts w:ascii="Times New Roman" w:hAnsi="Times New Roman" w:cs="Times New Roman"/>
        </w:rPr>
      </w:pPr>
    </w:p>
    <w:p w14:paraId="11D32FA3" w14:textId="77777777" w:rsidR="002B0263" w:rsidRDefault="002B0263" w:rsidP="004666A4">
      <w:pPr>
        <w:spacing w:after="0" w:line="480" w:lineRule="auto"/>
        <w:rPr>
          <w:rFonts w:ascii="Times New Roman" w:hAnsi="Times New Roman" w:cs="Times New Roman"/>
        </w:rPr>
      </w:pPr>
    </w:p>
    <w:p w14:paraId="726B700A" w14:textId="77777777" w:rsidR="002B0263" w:rsidRDefault="002B0263" w:rsidP="004666A4">
      <w:pPr>
        <w:spacing w:after="0" w:line="480" w:lineRule="auto"/>
        <w:rPr>
          <w:rFonts w:ascii="Times New Roman" w:hAnsi="Times New Roman" w:cs="Times New Roman"/>
        </w:rPr>
      </w:pPr>
    </w:p>
    <w:p w14:paraId="4F52EB1C" w14:textId="77777777" w:rsidR="002B0263" w:rsidRPr="00B40E58" w:rsidRDefault="002B0263" w:rsidP="004666A4">
      <w:pPr>
        <w:spacing w:after="0" w:line="480" w:lineRule="auto"/>
        <w:rPr>
          <w:rFonts w:ascii="Times New Roman" w:hAnsi="Times New Roman" w:cs="Times New Roman"/>
        </w:rPr>
      </w:pPr>
    </w:p>
    <w:p w14:paraId="6A292DA2" w14:textId="77777777" w:rsidR="00B40E58" w:rsidRPr="002B0263" w:rsidRDefault="00B40E58" w:rsidP="00B40E58">
      <w:pPr>
        <w:shd w:val="clear" w:color="auto" w:fill="FFFFFF"/>
        <w:jc w:val="center"/>
        <w:rPr>
          <w:rFonts w:ascii="Times New Roman" w:hAnsi="Times New Roman" w:cs="Times New Roman"/>
          <w:b/>
          <w:bCs/>
          <w:color w:val="000000"/>
        </w:rPr>
      </w:pPr>
      <w:r w:rsidRPr="002B0263">
        <w:rPr>
          <w:rFonts w:ascii="Times New Roman" w:hAnsi="Times New Roman" w:cs="Times New Roman"/>
          <w:b/>
          <w:bCs/>
          <w:color w:val="000000"/>
        </w:rPr>
        <w:lastRenderedPageBreak/>
        <w:t>References</w:t>
      </w:r>
    </w:p>
    <w:p w14:paraId="48C89ABC" w14:textId="77777777" w:rsidR="00B40E58" w:rsidRPr="00B40E58" w:rsidRDefault="00B40E58" w:rsidP="00B40E58">
      <w:pPr>
        <w:pStyle w:val="NormalWeb"/>
        <w:shd w:val="clear" w:color="auto" w:fill="FFFFFF"/>
        <w:spacing w:before="0" w:beforeAutospacing="0" w:after="0" w:afterAutospacing="0" w:line="550" w:lineRule="atLeast"/>
        <w:ind w:left="720" w:right="75" w:hanging="720"/>
        <w:rPr>
          <w:color w:val="000000"/>
        </w:rPr>
      </w:pPr>
      <w:r w:rsidRPr="00B40E58">
        <w:rPr>
          <w:color w:val="000000"/>
        </w:rPr>
        <w:t>CCCS. (2012). </w:t>
      </w:r>
      <w:r w:rsidRPr="00B40E58">
        <w:rPr>
          <w:rStyle w:val="Emphasis"/>
          <w:rFonts w:eastAsiaTheme="majorEastAsia"/>
          <w:i w:val="0"/>
          <w:iCs w:val="0"/>
          <w:color w:val="000000"/>
        </w:rPr>
        <w:t>CCS imposes financial penalties on two competing ferry operators for engaging in unlawful sharing of price information</w:t>
      </w:r>
      <w:r w:rsidRPr="00B40E58">
        <w:rPr>
          <w:color w:val="000000"/>
        </w:rPr>
        <w:t>. Competition and Consumer Commission of Singapore. </w:t>
      </w:r>
      <w:hyperlink r:id="rId7" w:history="1">
        <w:r w:rsidRPr="00B40E58">
          <w:rPr>
            <w:rStyle w:val="Hyperlink"/>
            <w:rFonts w:eastAsiaTheme="majorEastAsia"/>
            <w:color w:val="000000"/>
          </w:rPr>
          <w:t>https://www.ccs.gov.sg/media-and-events/newsroom/announcements-and-media-releases/ccs-imposes-financial-penalties-on-two-competing-ferry-operators-for-engaging-in-unlawful-sharing-of-price-information-371/</w:t>
        </w:r>
      </w:hyperlink>
    </w:p>
    <w:p w14:paraId="52E4F3F0" w14:textId="77777777" w:rsidR="00B40E58" w:rsidRPr="00B40E58" w:rsidRDefault="00B40E58" w:rsidP="00B40E58">
      <w:pPr>
        <w:pStyle w:val="NormalWeb"/>
        <w:shd w:val="clear" w:color="auto" w:fill="FFFFFF"/>
        <w:spacing w:before="0" w:beforeAutospacing="0" w:after="0" w:afterAutospacing="0" w:line="550" w:lineRule="atLeast"/>
        <w:ind w:left="720" w:right="75" w:hanging="720"/>
        <w:rPr>
          <w:color w:val="000000"/>
        </w:rPr>
      </w:pPr>
      <w:r w:rsidRPr="00B40E58">
        <w:rPr>
          <w:color w:val="000000"/>
        </w:rPr>
        <w:t>CCCS. (2016, December 1). </w:t>
      </w:r>
      <w:r w:rsidRPr="00B40E58">
        <w:rPr>
          <w:rStyle w:val="Emphasis"/>
          <w:rFonts w:eastAsiaTheme="majorEastAsia"/>
          <w:i w:val="0"/>
          <w:iCs w:val="0"/>
          <w:color w:val="000000"/>
        </w:rPr>
        <w:t>CCCS practice statement on the fast track procedure for Section 34 and Section 47 cases</w:t>
      </w:r>
      <w:r w:rsidRPr="00B40E58">
        <w:rPr>
          <w:color w:val="000000"/>
        </w:rPr>
        <w:t>. Competition and Consumer Commission of Singapore. </w:t>
      </w:r>
      <w:hyperlink r:id="rId8" w:history="1">
        <w:r w:rsidRPr="00B40E58">
          <w:rPr>
            <w:rStyle w:val="Hyperlink"/>
            <w:rFonts w:eastAsiaTheme="majorEastAsia"/>
            <w:color w:val="000000"/>
          </w:rPr>
          <w:t>https://isomer-user-content.by.gov.sg/45/5fc41918-3284-4e8e-bfca-9998b3b37bb8/CCCS%20Fast%20Track%20Procedure%20for%20Section%2034%20and%20Section%2047%20Cases.pdf</w:t>
        </w:r>
      </w:hyperlink>
    </w:p>
    <w:p w14:paraId="346F2FA1" w14:textId="45527958" w:rsidR="00B40E58" w:rsidRPr="00B40E58" w:rsidRDefault="00B40E58" w:rsidP="00B40E58">
      <w:pPr>
        <w:pStyle w:val="NormalWeb"/>
        <w:shd w:val="clear" w:color="auto" w:fill="FFFFFF"/>
        <w:spacing w:before="0" w:beforeAutospacing="0" w:after="0" w:afterAutospacing="0" w:line="550" w:lineRule="atLeast"/>
        <w:ind w:left="720" w:right="75" w:hanging="720"/>
        <w:rPr>
          <w:color w:val="000000"/>
        </w:rPr>
      </w:pPr>
      <w:r w:rsidRPr="00B40E58">
        <w:rPr>
          <w:color w:val="000000"/>
        </w:rPr>
        <w:t>CCCS. (2025, September 26</w:t>
      </w:r>
      <w:r w:rsidR="002B0263">
        <w:rPr>
          <w:color w:val="000000"/>
        </w:rPr>
        <w:t>b</w:t>
      </w:r>
      <w:r w:rsidRPr="00B40E58">
        <w:rPr>
          <w:color w:val="000000"/>
        </w:rPr>
        <w:t>). </w:t>
      </w:r>
      <w:r w:rsidRPr="00B40E58">
        <w:rPr>
          <w:rStyle w:val="Emphasis"/>
          <w:rFonts w:eastAsiaTheme="majorEastAsia"/>
          <w:i w:val="0"/>
          <w:iCs w:val="0"/>
          <w:color w:val="000000"/>
        </w:rPr>
        <w:t>Anti-competitive practices</w:t>
      </w:r>
      <w:r w:rsidRPr="00B40E58">
        <w:rPr>
          <w:color w:val="000000"/>
        </w:rPr>
        <w:t>. Competition and Consumer Commission of Singapore. </w:t>
      </w:r>
      <w:hyperlink r:id="rId9" w:history="1">
        <w:r w:rsidRPr="00B40E58">
          <w:rPr>
            <w:rStyle w:val="Hyperlink"/>
            <w:rFonts w:eastAsiaTheme="majorEastAsia"/>
            <w:color w:val="000000"/>
          </w:rPr>
          <w:t>https://www.ccs.gov.sg/anti-competitive-practices/</w:t>
        </w:r>
      </w:hyperlink>
    </w:p>
    <w:p w14:paraId="28830D7B" w14:textId="5194A692" w:rsidR="00B40E58" w:rsidRPr="00B40E58" w:rsidRDefault="00B40E58" w:rsidP="00B40E58">
      <w:pPr>
        <w:pStyle w:val="NormalWeb"/>
        <w:shd w:val="clear" w:color="auto" w:fill="FFFFFF"/>
        <w:spacing w:before="0" w:beforeAutospacing="0" w:after="0" w:afterAutospacing="0" w:line="550" w:lineRule="atLeast"/>
        <w:ind w:left="720" w:right="75" w:hanging="720"/>
        <w:rPr>
          <w:color w:val="000000"/>
        </w:rPr>
      </w:pPr>
      <w:r w:rsidRPr="00B40E58">
        <w:rPr>
          <w:color w:val="000000"/>
        </w:rPr>
        <w:t>CCCS. (2025, September 26</w:t>
      </w:r>
      <w:r w:rsidR="002B0263">
        <w:rPr>
          <w:color w:val="000000"/>
        </w:rPr>
        <w:t>a</w:t>
      </w:r>
      <w:r w:rsidRPr="00B40E58">
        <w:rPr>
          <w:color w:val="000000"/>
        </w:rPr>
        <w:t>). </w:t>
      </w:r>
      <w:r w:rsidRPr="00B40E58">
        <w:rPr>
          <w:rStyle w:val="Emphasis"/>
          <w:rFonts w:eastAsiaTheme="majorEastAsia"/>
          <w:i w:val="0"/>
          <w:iCs w:val="0"/>
          <w:color w:val="000000"/>
        </w:rPr>
        <w:t>Who we are</w:t>
      </w:r>
      <w:r w:rsidRPr="00B40E58">
        <w:rPr>
          <w:color w:val="000000"/>
        </w:rPr>
        <w:t>. Competition and Consumer Commission of Singapore. </w:t>
      </w:r>
      <w:hyperlink r:id="rId10" w:history="1">
        <w:r w:rsidRPr="00B40E58">
          <w:rPr>
            <w:rStyle w:val="Hyperlink"/>
            <w:rFonts w:eastAsiaTheme="majorEastAsia"/>
            <w:color w:val="000000"/>
          </w:rPr>
          <w:t>https://www.ccs.gov.sg/about-ccs/who-we-are/</w:t>
        </w:r>
      </w:hyperlink>
    </w:p>
    <w:p w14:paraId="46A8E0EE" w14:textId="4EC716D1" w:rsidR="00B40E58" w:rsidRPr="00B40E58" w:rsidRDefault="00B40E58" w:rsidP="00B40E58">
      <w:pPr>
        <w:pStyle w:val="NormalWeb"/>
        <w:shd w:val="clear" w:color="auto" w:fill="FFFFFF"/>
        <w:spacing w:before="0" w:beforeAutospacing="0" w:after="0" w:afterAutospacing="0" w:line="550" w:lineRule="atLeast"/>
        <w:ind w:left="720" w:right="75" w:hanging="720"/>
        <w:rPr>
          <w:color w:val="000000"/>
        </w:rPr>
      </w:pPr>
      <w:r w:rsidRPr="00B40E58">
        <w:rPr>
          <w:color w:val="000000"/>
        </w:rPr>
        <w:t>CCCS. (2025, October 15</w:t>
      </w:r>
      <w:r w:rsidR="002B0263">
        <w:rPr>
          <w:color w:val="000000"/>
        </w:rPr>
        <w:t>c</w:t>
      </w:r>
      <w:r w:rsidRPr="00B40E58">
        <w:rPr>
          <w:color w:val="000000"/>
        </w:rPr>
        <w:t>). </w:t>
      </w:r>
      <w:r w:rsidRPr="00B40E58">
        <w:rPr>
          <w:rStyle w:val="Emphasis"/>
          <w:rFonts w:eastAsiaTheme="majorEastAsia"/>
          <w:i w:val="0"/>
          <w:iCs w:val="0"/>
          <w:color w:val="000000"/>
        </w:rPr>
        <w:t>Financial penalty framework</w:t>
      </w:r>
      <w:r w:rsidRPr="00B40E58">
        <w:rPr>
          <w:color w:val="000000"/>
        </w:rPr>
        <w:t>. Competition and Consumer Commission of Singapore. </w:t>
      </w:r>
      <w:hyperlink r:id="rId11" w:history="1">
        <w:r w:rsidRPr="00B40E58">
          <w:rPr>
            <w:rStyle w:val="Hyperlink"/>
            <w:rFonts w:eastAsiaTheme="majorEastAsia"/>
            <w:color w:val="000000"/>
          </w:rPr>
          <w:t>https://www.ccs.gov.sg/anti-competitive-practices/legislation-and-guidelines/financial-penalty-framework/</w:t>
        </w:r>
      </w:hyperlink>
    </w:p>
    <w:p w14:paraId="23A93C18" w14:textId="77777777" w:rsidR="005E1B97" w:rsidRPr="00B40E58" w:rsidRDefault="005E1B97" w:rsidP="009F0F9E">
      <w:pPr>
        <w:rPr>
          <w:rFonts w:ascii="Times New Roman" w:hAnsi="Times New Roman" w:cs="Times New Roman"/>
        </w:rPr>
      </w:pPr>
    </w:p>
    <w:p w14:paraId="6D5F3268" w14:textId="77777777" w:rsidR="00B40E58" w:rsidRPr="00B40E58" w:rsidRDefault="00B40E58">
      <w:pPr>
        <w:rPr>
          <w:rFonts w:ascii="Times New Roman" w:hAnsi="Times New Roman" w:cs="Times New Roman"/>
        </w:rPr>
      </w:pPr>
    </w:p>
    <w:sectPr w:rsidR="00B40E58" w:rsidRPr="00B40E58">
      <w:headerReference w:type="even" r:id="rId12"/>
      <w:head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80F88" w14:textId="77777777" w:rsidR="00986401" w:rsidRDefault="00986401" w:rsidP="00ED5B95">
      <w:pPr>
        <w:spacing w:after="0" w:line="240" w:lineRule="auto"/>
      </w:pPr>
      <w:r>
        <w:separator/>
      </w:r>
    </w:p>
  </w:endnote>
  <w:endnote w:type="continuationSeparator" w:id="0">
    <w:p w14:paraId="4018566B" w14:textId="77777777" w:rsidR="00986401" w:rsidRDefault="00986401" w:rsidP="00ED5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CB327" w14:textId="77777777" w:rsidR="00986401" w:rsidRDefault="00986401" w:rsidP="00ED5B95">
      <w:pPr>
        <w:spacing w:after="0" w:line="240" w:lineRule="auto"/>
      </w:pPr>
      <w:r>
        <w:separator/>
      </w:r>
    </w:p>
  </w:footnote>
  <w:footnote w:type="continuationSeparator" w:id="0">
    <w:p w14:paraId="1AD50F01" w14:textId="77777777" w:rsidR="00986401" w:rsidRDefault="00986401" w:rsidP="00ED5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343379"/>
      <w:docPartObj>
        <w:docPartGallery w:val="Page Numbers (Top of Page)"/>
        <w:docPartUnique/>
      </w:docPartObj>
    </w:sdtPr>
    <w:sdtContent>
      <w:p w14:paraId="55D39520" w14:textId="51A25ADA" w:rsidR="00ED5B95" w:rsidRDefault="00ED5B95" w:rsidP="00174AE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498DD9" w14:textId="77777777" w:rsidR="00ED5B95" w:rsidRDefault="00ED5B95" w:rsidP="00ED5B9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277677615"/>
      <w:docPartObj>
        <w:docPartGallery w:val="Page Numbers (Top of Page)"/>
        <w:docPartUnique/>
      </w:docPartObj>
    </w:sdtPr>
    <w:sdtContent>
      <w:p w14:paraId="3428790D" w14:textId="07721827" w:rsidR="00ED5B95" w:rsidRPr="00ED5B95" w:rsidRDefault="00ED5B95" w:rsidP="00174AE8">
        <w:pPr>
          <w:pStyle w:val="Header"/>
          <w:framePr w:wrap="none" w:vAnchor="text" w:hAnchor="margin" w:xAlign="right" w:y="1"/>
          <w:rPr>
            <w:rStyle w:val="PageNumber"/>
            <w:rFonts w:ascii="Times New Roman" w:hAnsi="Times New Roman" w:cs="Times New Roman"/>
          </w:rPr>
        </w:pPr>
        <w:r w:rsidRPr="00ED5B95">
          <w:rPr>
            <w:rStyle w:val="PageNumber"/>
            <w:rFonts w:ascii="Times New Roman" w:hAnsi="Times New Roman" w:cs="Times New Roman"/>
          </w:rPr>
          <w:fldChar w:fldCharType="begin"/>
        </w:r>
        <w:r w:rsidRPr="00ED5B95">
          <w:rPr>
            <w:rStyle w:val="PageNumber"/>
            <w:rFonts w:ascii="Times New Roman" w:hAnsi="Times New Roman" w:cs="Times New Roman"/>
          </w:rPr>
          <w:instrText xml:space="preserve"> PAGE </w:instrText>
        </w:r>
        <w:r w:rsidRPr="00ED5B95">
          <w:rPr>
            <w:rStyle w:val="PageNumber"/>
            <w:rFonts w:ascii="Times New Roman" w:hAnsi="Times New Roman" w:cs="Times New Roman"/>
          </w:rPr>
          <w:fldChar w:fldCharType="separate"/>
        </w:r>
        <w:r w:rsidRPr="00ED5B95">
          <w:rPr>
            <w:rStyle w:val="PageNumber"/>
            <w:rFonts w:ascii="Times New Roman" w:hAnsi="Times New Roman" w:cs="Times New Roman"/>
            <w:noProof/>
          </w:rPr>
          <w:t>1</w:t>
        </w:r>
        <w:r w:rsidRPr="00ED5B95">
          <w:rPr>
            <w:rStyle w:val="PageNumber"/>
            <w:rFonts w:ascii="Times New Roman" w:hAnsi="Times New Roman" w:cs="Times New Roman"/>
          </w:rPr>
          <w:fldChar w:fldCharType="end"/>
        </w:r>
      </w:p>
    </w:sdtContent>
  </w:sdt>
  <w:p w14:paraId="39D4CF7B" w14:textId="77777777" w:rsidR="00ED5B95" w:rsidRDefault="00ED5B95" w:rsidP="00ED5B9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32E7"/>
    <w:multiLevelType w:val="multilevel"/>
    <w:tmpl w:val="3038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963A3E"/>
    <w:multiLevelType w:val="multilevel"/>
    <w:tmpl w:val="5C861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EE3A77"/>
    <w:multiLevelType w:val="multilevel"/>
    <w:tmpl w:val="6FBA8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9790317">
    <w:abstractNumId w:val="0"/>
  </w:num>
  <w:num w:numId="2" w16cid:durableId="510871568">
    <w:abstractNumId w:val="1"/>
  </w:num>
  <w:num w:numId="3" w16cid:durableId="19356308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7E"/>
    <w:rsid w:val="00002E17"/>
    <w:rsid w:val="00035634"/>
    <w:rsid w:val="002B0263"/>
    <w:rsid w:val="004666A4"/>
    <w:rsid w:val="00476630"/>
    <w:rsid w:val="0054533C"/>
    <w:rsid w:val="00594E55"/>
    <w:rsid w:val="005E1B97"/>
    <w:rsid w:val="005E3AD0"/>
    <w:rsid w:val="006B4CBE"/>
    <w:rsid w:val="0080214F"/>
    <w:rsid w:val="00847461"/>
    <w:rsid w:val="00950876"/>
    <w:rsid w:val="00974313"/>
    <w:rsid w:val="00986401"/>
    <w:rsid w:val="009F0F9E"/>
    <w:rsid w:val="00A53BAD"/>
    <w:rsid w:val="00AC1037"/>
    <w:rsid w:val="00B40E58"/>
    <w:rsid w:val="00BE437E"/>
    <w:rsid w:val="00CC7472"/>
    <w:rsid w:val="00D05E0E"/>
    <w:rsid w:val="00D23CB0"/>
    <w:rsid w:val="00DA68EB"/>
    <w:rsid w:val="00EA09EC"/>
    <w:rsid w:val="00EC00D8"/>
    <w:rsid w:val="00ED5B95"/>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C091A"/>
  <w15:chartTrackingRefBased/>
  <w15:docId w15:val="{898F3B20-5BE7-8440-ACC0-B9306961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4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E4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4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E4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37E"/>
    <w:rPr>
      <w:rFonts w:eastAsiaTheme="majorEastAsia" w:cstheme="majorBidi"/>
      <w:color w:val="272727" w:themeColor="text1" w:themeTint="D8"/>
    </w:rPr>
  </w:style>
  <w:style w:type="paragraph" w:styleId="Title">
    <w:name w:val="Title"/>
    <w:basedOn w:val="Normal"/>
    <w:next w:val="Normal"/>
    <w:link w:val="TitleChar"/>
    <w:uiPriority w:val="10"/>
    <w:qFormat/>
    <w:rsid w:val="00BE4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37E"/>
    <w:pPr>
      <w:spacing w:before="160"/>
      <w:jc w:val="center"/>
    </w:pPr>
    <w:rPr>
      <w:i/>
      <w:iCs/>
      <w:color w:val="404040" w:themeColor="text1" w:themeTint="BF"/>
    </w:rPr>
  </w:style>
  <w:style w:type="character" w:customStyle="1" w:styleId="QuoteChar">
    <w:name w:val="Quote Char"/>
    <w:basedOn w:val="DefaultParagraphFont"/>
    <w:link w:val="Quote"/>
    <w:uiPriority w:val="29"/>
    <w:rsid w:val="00BE437E"/>
    <w:rPr>
      <w:i/>
      <w:iCs/>
      <w:color w:val="404040" w:themeColor="text1" w:themeTint="BF"/>
    </w:rPr>
  </w:style>
  <w:style w:type="paragraph" w:styleId="ListParagraph">
    <w:name w:val="List Paragraph"/>
    <w:basedOn w:val="Normal"/>
    <w:uiPriority w:val="34"/>
    <w:qFormat/>
    <w:rsid w:val="00BE437E"/>
    <w:pPr>
      <w:ind w:left="720"/>
      <w:contextualSpacing/>
    </w:pPr>
  </w:style>
  <w:style w:type="character" w:styleId="IntenseEmphasis">
    <w:name w:val="Intense Emphasis"/>
    <w:basedOn w:val="DefaultParagraphFont"/>
    <w:uiPriority w:val="21"/>
    <w:qFormat/>
    <w:rsid w:val="00BE437E"/>
    <w:rPr>
      <w:i/>
      <w:iCs/>
      <w:color w:val="0F4761" w:themeColor="accent1" w:themeShade="BF"/>
    </w:rPr>
  </w:style>
  <w:style w:type="paragraph" w:styleId="IntenseQuote">
    <w:name w:val="Intense Quote"/>
    <w:basedOn w:val="Normal"/>
    <w:next w:val="Normal"/>
    <w:link w:val="IntenseQuoteChar"/>
    <w:uiPriority w:val="30"/>
    <w:qFormat/>
    <w:rsid w:val="00BE4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37E"/>
    <w:rPr>
      <w:i/>
      <w:iCs/>
      <w:color w:val="0F4761" w:themeColor="accent1" w:themeShade="BF"/>
    </w:rPr>
  </w:style>
  <w:style w:type="character" w:styleId="IntenseReference">
    <w:name w:val="Intense Reference"/>
    <w:basedOn w:val="DefaultParagraphFont"/>
    <w:uiPriority w:val="32"/>
    <w:qFormat/>
    <w:rsid w:val="00BE437E"/>
    <w:rPr>
      <w:b/>
      <w:bCs/>
      <w:smallCaps/>
      <w:color w:val="0F4761" w:themeColor="accent1" w:themeShade="BF"/>
      <w:spacing w:val="5"/>
    </w:rPr>
  </w:style>
  <w:style w:type="character" w:customStyle="1" w:styleId="title-text">
    <w:name w:val="title-text"/>
    <w:basedOn w:val="DefaultParagraphFont"/>
    <w:rsid w:val="00002E17"/>
  </w:style>
  <w:style w:type="character" w:styleId="Hyperlink">
    <w:name w:val="Hyperlink"/>
    <w:basedOn w:val="DefaultParagraphFont"/>
    <w:uiPriority w:val="99"/>
    <w:semiHidden/>
    <w:unhideWhenUsed/>
    <w:rsid w:val="00002E17"/>
    <w:rPr>
      <w:color w:val="0000FF"/>
      <w:u w:val="single"/>
    </w:rPr>
  </w:style>
  <w:style w:type="character" w:customStyle="1" w:styleId="anchor-text">
    <w:name w:val="anchor-text"/>
    <w:basedOn w:val="DefaultParagraphFont"/>
    <w:rsid w:val="00002E17"/>
  </w:style>
  <w:style w:type="character" w:styleId="Emphasis">
    <w:name w:val="Emphasis"/>
    <w:basedOn w:val="DefaultParagraphFont"/>
    <w:uiPriority w:val="20"/>
    <w:qFormat/>
    <w:rsid w:val="00002E17"/>
    <w:rPr>
      <w:i/>
      <w:iCs/>
    </w:rPr>
  </w:style>
  <w:style w:type="paragraph" w:styleId="NormalWeb">
    <w:name w:val="Normal (Web)"/>
    <w:basedOn w:val="Normal"/>
    <w:uiPriority w:val="99"/>
    <w:semiHidden/>
    <w:unhideWhenUsed/>
    <w:rsid w:val="00002E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bel">
    <w:name w:val="label"/>
    <w:basedOn w:val="DefaultParagraphFont"/>
    <w:rsid w:val="00002E17"/>
  </w:style>
  <w:style w:type="character" w:customStyle="1" w:styleId="screen-reader-only">
    <w:name w:val="screen-reader-only"/>
    <w:basedOn w:val="DefaultParagraphFont"/>
    <w:rsid w:val="00002E17"/>
  </w:style>
  <w:style w:type="character" w:customStyle="1" w:styleId="download-link-title">
    <w:name w:val="download-link-title"/>
    <w:basedOn w:val="DefaultParagraphFont"/>
    <w:rsid w:val="00002E17"/>
  </w:style>
  <w:style w:type="character" w:styleId="Strong">
    <w:name w:val="Strong"/>
    <w:basedOn w:val="DefaultParagraphFont"/>
    <w:uiPriority w:val="22"/>
    <w:qFormat/>
    <w:rsid w:val="00D23CB0"/>
    <w:rPr>
      <w:b/>
      <w:bCs/>
    </w:rPr>
  </w:style>
  <w:style w:type="paragraph" w:styleId="NoSpacing">
    <w:name w:val="No Spacing"/>
    <w:uiPriority w:val="1"/>
    <w:qFormat/>
    <w:rsid w:val="00ED5B95"/>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ED5B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5B95"/>
  </w:style>
  <w:style w:type="character" w:styleId="PageNumber">
    <w:name w:val="page number"/>
    <w:basedOn w:val="DefaultParagraphFont"/>
    <w:uiPriority w:val="99"/>
    <w:semiHidden/>
    <w:unhideWhenUsed/>
    <w:rsid w:val="00ED5B95"/>
  </w:style>
  <w:style w:type="paragraph" w:styleId="Footer">
    <w:name w:val="footer"/>
    <w:basedOn w:val="Normal"/>
    <w:link w:val="FooterChar"/>
    <w:uiPriority w:val="99"/>
    <w:unhideWhenUsed/>
    <w:rsid w:val="00ED5B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omer-user-content.by.gov.sg/45/5fc41918-3284-4e8e-bfca-9998b3b37bb8/CCCS%20Fast%20Track%20Procedure%20for%20Section%2034%20and%20Section%2047%20Cases.pdf"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www.ccs.gov.sg/media-and-events/newsroom/announcements-and-media-releases/ccs-imposes-financial-penalties-on-two-competing-ferry-operators-for-engaging-in-unlawful-sharing-of-price-information-371/"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cs.gov.sg/anti-competitive-practices/legislation-and-guidelines/financial-penalty-framework/"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ccs.gov.sg/about-ccs/who-we-are/" TargetMode="External"/><Relationship Id="rId4" Type="http://schemas.openxmlformats.org/officeDocument/2006/relationships/webSettings" Target="webSettings.xml"/><Relationship Id="rId9" Type="http://schemas.openxmlformats.org/officeDocument/2006/relationships/hyperlink" Target="https://www.ccs.gov.sg/anti-competitive-practic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1435</Words>
  <Characters>8182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6</cp:revision>
  <dcterms:created xsi:type="dcterms:W3CDTF">2025-11-26T23:00:00Z</dcterms:created>
  <dcterms:modified xsi:type="dcterms:W3CDTF">2025-11-27T01:20:00Z</dcterms:modified>
</cp:coreProperties>
</file>