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EA733" w14:textId="77777777" w:rsidR="00673964" w:rsidRPr="00673964" w:rsidRDefault="00673964" w:rsidP="001B1C7B">
      <w:pPr>
        <w:spacing w:after="0" w:line="480" w:lineRule="auto"/>
        <w:rPr>
          <w:rFonts w:ascii="Times New Roman" w:eastAsia="Times New Roman" w:hAnsi="Times New Roman" w:cs="Times New Roman"/>
          <w:kern w:val="0"/>
          <w14:ligatures w14:val="none"/>
        </w:rPr>
      </w:pPr>
    </w:p>
    <w:p w14:paraId="1EDABC3D" w14:textId="41F6F56E" w:rsidR="00841D75" w:rsidRPr="001B1C7B" w:rsidRDefault="00841D75" w:rsidP="001B1C7B">
      <w:pPr>
        <w:spacing w:after="0" w:line="480" w:lineRule="auto"/>
        <w:jc w:val="center"/>
        <w:rPr>
          <w:rFonts w:ascii="Times New Roman" w:hAnsi="Times New Roman" w:cs="Times New Roman"/>
          <w:b/>
          <w:bCs/>
        </w:rPr>
      </w:pPr>
      <w:r w:rsidRPr="001B1C7B">
        <w:rPr>
          <w:rFonts w:ascii="Times New Roman" w:hAnsi="Times New Roman" w:cs="Times New Roman"/>
          <w:b/>
          <w:bCs/>
        </w:rPr>
        <w:t xml:space="preserve">Exploring Externalities </w:t>
      </w:r>
      <w:r w:rsidRPr="001B1C7B">
        <w:rPr>
          <w:rFonts w:ascii="Times New Roman" w:hAnsi="Times New Roman" w:cs="Times New Roman"/>
          <w:b/>
          <w:bCs/>
        </w:rPr>
        <w:t>by S</w:t>
      </w:r>
      <w:r w:rsidRPr="001B1C7B">
        <w:rPr>
          <w:rFonts w:ascii="Times New Roman" w:hAnsi="Times New Roman" w:cs="Times New Roman"/>
          <w:b/>
          <w:bCs/>
        </w:rPr>
        <w:t xml:space="preserve">ugar </w:t>
      </w:r>
      <w:r w:rsidR="001B1C7B" w:rsidRPr="001B1C7B">
        <w:rPr>
          <w:rFonts w:ascii="Times New Roman" w:hAnsi="Times New Roman" w:cs="Times New Roman"/>
          <w:b/>
          <w:bCs/>
        </w:rPr>
        <w:t>M</w:t>
      </w:r>
      <w:r w:rsidRPr="001B1C7B">
        <w:rPr>
          <w:rFonts w:ascii="Times New Roman" w:hAnsi="Times New Roman" w:cs="Times New Roman"/>
          <w:b/>
          <w:bCs/>
        </w:rPr>
        <w:t xml:space="preserve">anufacturing </w:t>
      </w:r>
      <w:r w:rsidRPr="001B1C7B">
        <w:rPr>
          <w:rFonts w:ascii="Times New Roman" w:hAnsi="Times New Roman" w:cs="Times New Roman"/>
          <w:b/>
          <w:bCs/>
        </w:rPr>
        <w:t>F</w:t>
      </w:r>
      <w:r w:rsidRPr="001B1C7B">
        <w:rPr>
          <w:rFonts w:ascii="Times New Roman" w:hAnsi="Times New Roman" w:cs="Times New Roman"/>
          <w:b/>
          <w:bCs/>
        </w:rPr>
        <w:t>irms in Kenya</w:t>
      </w:r>
    </w:p>
    <w:p w14:paraId="2EAE2EB6" w14:textId="3F31E96E" w:rsidR="00841D75" w:rsidRPr="001B1C7B" w:rsidRDefault="00841D75" w:rsidP="001B1C7B">
      <w:pPr>
        <w:spacing w:after="0" w:line="480" w:lineRule="auto"/>
        <w:rPr>
          <w:rFonts w:ascii="Times New Roman" w:hAnsi="Times New Roman" w:cs="Times New Roman"/>
        </w:rPr>
      </w:pPr>
      <w:r w:rsidRPr="001B1C7B">
        <w:rPr>
          <w:rFonts w:ascii="Times New Roman" w:hAnsi="Times New Roman" w:cs="Times New Roman"/>
        </w:rPr>
        <w:t xml:space="preserve">Externalities play a significant role in market economies because they encompass the unintended effects of production or consumption that can impact individuals who are not directly involved in those activities (Greenlaw, Shapiro, &amp; MacDonald, 2022). One clear example of a negative externality is seen in the environmental pollution caused by sugar manufacturing firms in Kenya, as </w:t>
      </w:r>
      <w:r w:rsidR="001B1C7B" w:rsidRPr="001B1C7B">
        <w:rPr>
          <w:rFonts w:ascii="Times New Roman" w:hAnsi="Times New Roman" w:cs="Times New Roman"/>
        </w:rPr>
        <w:t>Atieno (2022) documents</w:t>
      </w:r>
      <w:r w:rsidRPr="001B1C7B">
        <w:rPr>
          <w:rFonts w:ascii="Times New Roman" w:hAnsi="Times New Roman" w:cs="Times New Roman"/>
        </w:rPr>
        <w:t xml:space="preserve"> in the case involving West Kenya Sugar Company and Butali Sugar Mills. These companies disposed of bagasse, which is the solid waste from sugarcane processing, on land provided by local villagers. The community was initially unaware of the full environmental and health risks of this practice. Over time, harmful substances from the bagasse seeped into water sources, damaging crops, contaminating wells and streams, and leading to the death of livestock (Atieno, 2022). Pollution from these processes not only affects agricultural productivity and water safety but also results in health problems for both people and animals living nearby. This situation demonstrates how the costs associated with production, which should be internalized by the firms, were instead imposed on surrounding communities. It is a classic example of a negative externality, where the social costs go beyond what the firms themselves take into account.</w:t>
      </w:r>
    </w:p>
    <w:p w14:paraId="1272BA59" w14:textId="1447CB54" w:rsidR="00841D75" w:rsidRPr="001B1C7B" w:rsidRDefault="00841D75" w:rsidP="001B1C7B">
      <w:pPr>
        <w:spacing w:line="480" w:lineRule="auto"/>
        <w:rPr>
          <w:rFonts w:ascii="Times New Roman" w:hAnsi="Times New Roman" w:cs="Times New Roman"/>
        </w:rPr>
      </w:pPr>
      <w:r w:rsidRPr="001B1C7B">
        <w:rPr>
          <w:rFonts w:ascii="Times New Roman" w:hAnsi="Times New Roman" w:cs="Times New Roman"/>
        </w:rPr>
        <w:t>The negative externalities produced by these sugar processing companies have significant consequences for both local and global markets. On a local level, pollution results in inefficient resource allocation because the price of sugar fails to reflect the true social cost of its production. This leads to overproduction and excessive degradation of the environment (Greenlaw, Shapiro, &amp; MacDonald, 2022). Local communities bear the impacts of polluted water, diminished agricultural productivity, and increased health risks</w:t>
      </w:r>
      <w:r w:rsidR="001B1C7B" w:rsidRPr="001B1C7B">
        <w:rPr>
          <w:rFonts w:ascii="Times New Roman" w:hAnsi="Times New Roman" w:cs="Times New Roman"/>
        </w:rPr>
        <w:t xml:space="preserve"> (Atieno, 2022)</w:t>
      </w:r>
      <w:r w:rsidRPr="001B1C7B">
        <w:rPr>
          <w:rFonts w:ascii="Times New Roman" w:hAnsi="Times New Roman" w:cs="Times New Roman"/>
        </w:rPr>
        <w:t xml:space="preserve">, which can put pressure on </w:t>
      </w:r>
      <w:r w:rsidRPr="001B1C7B">
        <w:rPr>
          <w:rFonts w:ascii="Times New Roman" w:hAnsi="Times New Roman" w:cs="Times New Roman"/>
        </w:rPr>
        <w:lastRenderedPageBreak/>
        <w:t xml:space="preserve">the local economy and decrease overall well-being. On a global scale, environmental harm of this nature contributes to </w:t>
      </w:r>
      <w:r w:rsidRPr="001B1C7B">
        <w:rPr>
          <w:rFonts w:ascii="Times New Roman" w:hAnsi="Times New Roman" w:cs="Times New Roman"/>
          <w:kern w:val="0"/>
          <w14:ligatures w14:val="none"/>
        </w:rPr>
        <w:t>broader challenges, such as deteriorating water quality and greenhouse gas emissions, which, in turn,</w:t>
      </w:r>
      <w:r w:rsidRPr="001B1C7B">
        <w:rPr>
          <w:rFonts w:ascii="Times New Roman" w:hAnsi="Times New Roman" w:cs="Times New Roman"/>
        </w:rPr>
        <w:t xml:space="preserve"> worsen climate change and affect ecosystems far beyond the immediate area. For example, untreated wastewater released from these factories alters the pH of natural water bodies, increases chemical oxygen demand, and leads to the release of methane, a potent greenhouse gas (Atieno, 2022). These outcomes highlight the importance of effective regulation and rigorous enforcement of environmental standards in order to address these external costs, improve market efficiency, and protect both local populations and the wider environment.</w:t>
      </w:r>
    </w:p>
    <w:p w14:paraId="42FE0A62" w14:textId="77777777" w:rsidR="001B1C7B" w:rsidRPr="001B1C7B" w:rsidRDefault="001B1C7B" w:rsidP="001B1C7B">
      <w:pPr>
        <w:spacing w:line="480" w:lineRule="auto"/>
        <w:rPr>
          <w:rFonts w:ascii="Times New Roman" w:hAnsi="Times New Roman" w:cs="Times New Roman"/>
        </w:rPr>
      </w:pPr>
    </w:p>
    <w:p w14:paraId="276BFE4D" w14:textId="52946EE1" w:rsidR="001B1C7B" w:rsidRPr="001B1C7B" w:rsidRDefault="001B1C7B" w:rsidP="001B1C7B">
      <w:pPr>
        <w:spacing w:after="0" w:line="480" w:lineRule="auto"/>
        <w:jc w:val="center"/>
        <w:rPr>
          <w:rFonts w:ascii="Times New Roman" w:hAnsi="Times New Roman" w:cs="Times New Roman"/>
          <w:b/>
          <w:bCs/>
        </w:rPr>
      </w:pPr>
      <w:r w:rsidRPr="001B1C7B">
        <w:rPr>
          <w:rFonts w:ascii="Times New Roman" w:hAnsi="Times New Roman" w:cs="Times New Roman"/>
          <w:b/>
          <w:bCs/>
        </w:rPr>
        <w:t>References</w:t>
      </w:r>
    </w:p>
    <w:p w14:paraId="2084BEF8" w14:textId="77777777" w:rsidR="001B1C7B" w:rsidRPr="001B1C7B" w:rsidRDefault="001B1C7B" w:rsidP="001B1C7B">
      <w:pPr>
        <w:spacing w:after="0" w:line="480" w:lineRule="auto"/>
        <w:rPr>
          <w:rFonts w:ascii="Times New Roman" w:hAnsi="Times New Roman" w:cs="Times New Roman"/>
        </w:rPr>
      </w:pPr>
      <w:r w:rsidRPr="001B1C7B">
        <w:rPr>
          <w:rFonts w:ascii="Times New Roman" w:hAnsi="Times New Roman" w:cs="Times New Roman"/>
          <w:color w:val="000000"/>
          <w:shd w:val="clear" w:color="auto" w:fill="FFFFFF"/>
        </w:rPr>
        <w:t>Atieno S. (2025, March 13). </w:t>
      </w:r>
      <w:r w:rsidRPr="001B1C7B">
        <w:rPr>
          <w:rStyle w:val="Emphasis"/>
          <w:rFonts w:ascii="Times New Roman" w:hAnsi="Times New Roman" w:cs="Times New Roman"/>
          <w:color w:val="000000"/>
          <w:shd w:val="clear" w:color="auto" w:fill="FFFFFF"/>
        </w:rPr>
        <w:t>Sugar firms in Kenya infringe on communities’ right to a healthy environment</w:t>
      </w:r>
      <w:r w:rsidRPr="001B1C7B">
        <w:rPr>
          <w:rFonts w:ascii="Times New Roman" w:hAnsi="Times New Roman" w:cs="Times New Roman"/>
          <w:color w:val="000000"/>
          <w:shd w:val="clear" w:color="auto" w:fill="FFFFFF"/>
        </w:rPr>
        <w:t>. InfoNile. </w:t>
      </w:r>
      <w:hyperlink r:id="rId5" w:history="1">
        <w:r w:rsidRPr="001B1C7B">
          <w:rPr>
            <w:rStyle w:val="Hyperlink"/>
            <w:rFonts w:ascii="Times New Roman" w:hAnsi="Times New Roman" w:cs="Times New Roman"/>
            <w:color w:val="000000"/>
            <w:shd w:val="clear" w:color="auto" w:fill="FFFFFF"/>
          </w:rPr>
          <w:t>https://infonile.org/en/2022/03/sugar-firms-in-kenya-infringe-on-communities-right-to-a-healthy-environment/</w:t>
        </w:r>
      </w:hyperlink>
    </w:p>
    <w:p w14:paraId="06629BB0" w14:textId="0FA74EBF" w:rsidR="001B1C7B" w:rsidRPr="001B1C7B" w:rsidRDefault="001B1C7B" w:rsidP="001B1C7B">
      <w:pPr>
        <w:spacing w:line="480" w:lineRule="auto"/>
        <w:rPr>
          <w:rFonts w:ascii="Times New Roman" w:hAnsi="Times New Roman" w:cs="Times New Roman"/>
        </w:rPr>
      </w:pPr>
      <w:r w:rsidRPr="001B1C7B">
        <w:rPr>
          <w:rFonts w:ascii="Times New Roman" w:eastAsia="Times New Roman" w:hAnsi="Times New Roman" w:cs="Times New Roman"/>
          <w:color w:val="1D2125"/>
          <w:kern w:val="0"/>
          <w14:ligatures w14:val="none"/>
        </w:rPr>
        <w:t>Greenlaw, S., Shapiro, D., &amp; MacDonald, D. (2022). Principles of Economics (3e ed.). </w:t>
      </w:r>
      <w:hyperlink r:id="rId6" w:tgtFrame="_blank" w:history="1">
        <w:r w:rsidRPr="001B1C7B">
          <w:rPr>
            <w:rFonts w:ascii="Times New Roman" w:eastAsia="Times New Roman" w:hAnsi="Times New Roman" w:cs="Times New Roman"/>
            <w:color w:val="E90172"/>
            <w:kern w:val="0"/>
            <w:u w:val="single"/>
            <w14:ligatures w14:val="none"/>
          </w:rPr>
          <w:t>https://openstax.org/books/principles-economics-3e/pages/1-introduction</w:t>
        </w:r>
      </w:hyperlink>
    </w:p>
    <w:p w14:paraId="613D36FB" w14:textId="77777777" w:rsidR="001B1C7B" w:rsidRPr="001B1C7B" w:rsidRDefault="001B1C7B" w:rsidP="00841D75">
      <w:pPr>
        <w:rPr>
          <w:rFonts w:ascii="Times New Roman" w:hAnsi="Times New Roman" w:cs="Times New Roman"/>
        </w:rPr>
      </w:pPr>
    </w:p>
    <w:p w14:paraId="23D4F032" w14:textId="77777777" w:rsidR="00070921" w:rsidRPr="001B1C7B" w:rsidRDefault="00070921">
      <w:pPr>
        <w:rPr>
          <w:rFonts w:ascii="Times New Roman" w:hAnsi="Times New Roman" w:cs="Times New Roman"/>
        </w:rPr>
      </w:pPr>
    </w:p>
    <w:p w14:paraId="33C19D67" w14:textId="77777777" w:rsidR="008D36E8" w:rsidRPr="001B1C7B" w:rsidRDefault="008D36E8">
      <w:pPr>
        <w:rPr>
          <w:rFonts w:ascii="Times New Roman" w:hAnsi="Times New Roman" w:cs="Times New Roman"/>
        </w:rPr>
      </w:pPr>
    </w:p>
    <w:sectPr w:rsidR="008D36E8" w:rsidRPr="001B1C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A8700C"/>
    <w:multiLevelType w:val="multilevel"/>
    <w:tmpl w:val="824C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582177"/>
    <w:multiLevelType w:val="multilevel"/>
    <w:tmpl w:val="F5D23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A01F56"/>
    <w:multiLevelType w:val="multilevel"/>
    <w:tmpl w:val="A0C04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6904489">
    <w:abstractNumId w:val="1"/>
  </w:num>
  <w:num w:numId="2" w16cid:durableId="1875802593">
    <w:abstractNumId w:val="0"/>
  </w:num>
  <w:num w:numId="3" w16cid:durableId="1468702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921"/>
    <w:rsid w:val="00070921"/>
    <w:rsid w:val="001B1C7B"/>
    <w:rsid w:val="00673964"/>
    <w:rsid w:val="00841D75"/>
    <w:rsid w:val="008D36E8"/>
    <w:rsid w:val="00B56F1D"/>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5064F"/>
  <w15:chartTrackingRefBased/>
  <w15:docId w15:val="{05AAF946-7251-3545-BCC0-374C69B95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9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09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09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709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9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9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09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09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709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9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921"/>
    <w:rPr>
      <w:rFonts w:eastAsiaTheme="majorEastAsia" w:cstheme="majorBidi"/>
      <w:color w:val="272727" w:themeColor="text1" w:themeTint="D8"/>
    </w:rPr>
  </w:style>
  <w:style w:type="paragraph" w:styleId="Title">
    <w:name w:val="Title"/>
    <w:basedOn w:val="Normal"/>
    <w:next w:val="Normal"/>
    <w:link w:val="TitleChar"/>
    <w:uiPriority w:val="10"/>
    <w:qFormat/>
    <w:rsid w:val="00070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921"/>
    <w:pPr>
      <w:spacing w:before="160"/>
      <w:jc w:val="center"/>
    </w:pPr>
    <w:rPr>
      <w:i/>
      <w:iCs/>
      <w:color w:val="404040" w:themeColor="text1" w:themeTint="BF"/>
    </w:rPr>
  </w:style>
  <w:style w:type="character" w:customStyle="1" w:styleId="QuoteChar">
    <w:name w:val="Quote Char"/>
    <w:basedOn w:val="DefaultParagraphFont"/>
    <w:link w:val="Quote"/>
    <w:uiPriority w:val="29"/>
    <w:rsid w:val="00070921"/>
    <w:rPr>
      <w:i/>
      <w:iCs/>
      <w:color w:val="404040" w:themeColor="text1" w:themeTint="BF"/>
    </w:rPr>
  </w:style>
  <w:style w:type="paragraph" w:styleId="ListParagraph">
    <w:name w:val="List Paragraph"/>
    <w:basedOn w:val="Normal"/>
    <w:uiPriority w:val="34"/>
    <w:qFormat/>
    <w:rsid w:val="00070921"/>
    <w:pPr>
      <w:ind w:left="720"/>
      <w:contextualSpacing/>
    </w:pPr>
  </w:style>
  <w:style w:type="character" w:styleId="IntenseEmphasis">
    <w:name w:val="Intense Emphasis"/>
    <w:basedOn w:val="DefaultParagraphFont"/>
    <w:uiPriority w:val="21"/>
    <w:qFormat/>
    <w:rsid w:val="00070921"/>
    <w:rPr>
      <w:i/>
      <w:iCs/>
      <w:color w:val="0F4761" w:themeColor="accent1" w:themeShade="BF"/>
    </w:rPr>
  </w:style>
  <w:style w:type="paragraph" w:styleId="IntenseQuote">
    <w:name w:val="Intense Quote"/>
    <w:basedOn w:val="Normal"/>
    <w:next w:val="Normal"/>
    <w:link w:val="IntenseQuoteChar"/>
    <w:uiPriority w:val="30"/>
    <w:qFormat/>
    <w:rsid w:val="000709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921"/>
    <w:rPr>
      <w:i/>
      <w:iCs/>
      <w:color w:val="0F4761" w:themeColor="accent1" w:themeShade="BF"/>
    </w:rPr>
  </w:style>
  <w:style w:type="character" w:styleId="IntenseReference">
    <w:name w:val="Intense Reference"/>
    <w:basedOn w:val="DefaultParagraphFont"/>
    <w:uiPriority w:val="32"/>
    <w:qFormat/>
    <w:rsid w:val="00070921"/>
    <w:rPr>
      <w:b/>
      <w:bCs/>
      <w:smallCaps/>
      <w:color w:val="0F4761" w:themeColor="accent1" w:themeShade="BF"/>
      <w:spacing w:val="5"/>
    </w:rPr>
  </w:style>
  <w:style w:type="paragraph" w:styleId="NormalWeb">
    <w:name w:val="Normal (Web)"/>
    <w:basedOn w:val="Normal"/>
    <w:uiPriority w:val="99"/>
    <w:semiHidden/>
    <w:unhideWhenUsed/>
    <w:rsid w:val="0067396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673964"/>
    <w:rPr>
      <w:color w:val="0000FF"/>
      <w:u w:val="single"/>
    </w:rPr>
  </w:style>
  <w:style w:type="character" w:customStyle="1" w:styleId="os-title-label">
    <w:name w:val="os-title-label"/>
    <w:basedOn w:val="DefaultParagraphFont"/>
    <w:rsid w:val="00673964"/>
  </w:style>
  <w:style w:type="character" w:customStyle="1" w:styleId="os-number">
    <w:name w:val="os-number"/>
    <w:basedOn w:val="DefaultParagraphFont"/>
    <w:rsid w:val="00673964"/>
  </w:style>
  <w:style w:type="character" w:customStyle="1" w:styleId="os-title">
    <w:name w:val="os-title"/>
    <w:basedOn w:val="DefaultParagraphFont"/>
    <w:rsid w:val="00673964"/>
  </w:style>
  <w:style w:type="character" w:customStyle="1" w:styleId="os-caption">
    <w:name w:val="os-caption"/>
    <w:basedOn w:val="DefaultParagraphFont"/>
    <w:rsid w:val="00673964"/>
  </w:style>
  <w:style w:type="character" w:customStyle="1" w:styleId="no-emphasis">
    <w:name w:val="no-emphasis"/>
    <w:basedOn w:val="DefaultParagraphFont"/>
    <w:rsid w:val="00673964"/>
  </w:style>
  <w:style w:type="character" w:customStyle="1" w:styleId="os-subtitle-label">
    <w:name w:val="os-subtitle-label"/>
    <w:basedOn w:val="DefaultParagraphFont"/>
    <w:rsid w:val="00673964"/>
  </w:style>
  <w:style w:type="character" w:styleId="Emphasis">
    <w:name w:val="Emphasis"/>
    <w:basedOn w:val="DefaultParagraphFont"/>
    <w:uiPriority w:val="20"/>
    <w:qFormat/>
    <w:rsid w:val="00673964"/>
    <w:rPr>
      <w:i/>
      <w:iCs/>
    </w:rPr>
  </w:style>
  <w:style w:type="paragraph" w:customStyle="1" w:styleId="post-headerexcerpt">
    <w:name w:val="post-header__excerpt"/>
    <w:basedOn w:val="Normal"/>
    <w:rsid w:val="00841D7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ost-headerauthor-name">
    <w:name w:val="post-header__author-name"/>
    <w:basedOn w:val="Normal"/>
    <w:rsid w:val="00841D7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ost-headerdate">
    <w:name w:val="post-header__date"/>
    <w:basedOn w:val="Normal"/>
    <w:rsid w:val="00841D7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as-drop-cap">
    <w:name w:val="has-drop-cap"/>
    <w:basedOn w:val="Normal"/>
    <w:rsid w:val="00841D7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41D75"/>
    <w:rPr>
      <w:b/>
      <w:bCs/>
    </w:rPr>
  </w:style>
  <w:style w:type="character" w:styleId="HTMLCite">
    <w:name w:val="HTML Cite"/>
    <w:basedOn w:val="DefaultParagraphFont"/>
    <w:uiPriority w:val="99"/>
    <w:semiHidden/>
    <w:unhideWhenUsed/>
    <w:rsid w:val="00841D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stax.org/books/principles-economics-3e/pages/1-introduction" TargetMode="External"/><Relationship Id="rId5" Type="http://schemas.openxmlformats.org/officeDocument/2006/relationships/hyperlink" Target="https://infonile.org/en/2022/03/sugar-firms-in-kenya-infringe-on-communities-right-to-a-healthy-environ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499</Words>
  <Characters>2847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2025-12-03T21:11:00Z</dcterms:created>
  <dcterms:modified xsi:type="dcterms:W3CDTF">2025-12-03T21:47:00Z</dcterms:modified>
</cp:coreProperties>
</file>