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78591" w14:textId="77777777" w:rsidR="00981FE7" w:rsidRPr="000004D7" w:rsidRDefault="00981FE7" w:rsidP="000004D7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1D2125"/>
        </w:rPr>
      </w:pPr>
      <w:r w:rsidRPr="000004D7">
        <w:rPr>
          <w:b/>
          <w:bCs/>
          <w:color w:val="1D2125"/>
        </w:rPr>
        <w:t>Discussion Assignment 2</w:t>
      </w:r>
    </w:p>
    <w:p w14:paraId="6340523A" w14:textId="17E20647" w:rsidR="00981FE7" w:rsidRPr="000004D7" w:rsidRDefault="00981FE7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>If an n-sided regular polygon is inscribed in a circle of radius </w:t>
      </w:r>
      <w:r w:rsidRPr="000004D7">
        <w:rPr>
          <w:i/>
          <w:iCs/>
          <w:color w:val="1D2125"/>
        </w:rPr>
        <w:t>r, </w:t>
      </w:r>
      <w:r w:rsidRPr="000004D7">
        <w:rPr>
          <w:color w:val="1D2125"/>
        </w:rPr>
        <w:t>as shown in the figure below, then n-isosceles triangles fill the circle. </w:t>
      </w:r>
    </w:p>
    <w:p w14:paraId="359F6C4A" w14:textId="7F5D0A2B" w:rsidR="00981FE7" w:rsidRPr="000004D7" w:rsidRDefault="00981FE7" w:rsidP="00981FE7">
      <w:pPr>
        <w:pStyle w:val="NormalWeb"/>
        <w:shd w:val="clear" w:color="auto" w:fill="FFFFFF"/>
        <w:spacing w:before="0" w:beforeAutospacing="0"/>
        <w:jc w:val="center"/>
        <w:rPr>
          <w:color w:val="1D2125"/>
        </w:rPr>
      </w:pPr>
      <w:r w:rsidRPr="000004D7">
        <w:rPr>
          <w:noProof/>
          <w:color w:val="1D2125"/>
        </w:rPr>
        <w:drawing>
          <wp:inline distT="0" distB="0" distL="0" distR="0" wp14:anchorId="6A1D7752" wp14:editId="090E298F">
            <wp:extent cx="2533650" cy="1695450"/>
            <wp:effectExtent l="0" t="0" r="0" b="0"/>
            <wp:docPr id="299372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0A17F8" w14:textId="77777777" w:rsidR="00981FE7" w:rsidRPr="000004D7" w:rsidRDefault="00981FE7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>Based on the statement and figure above answer the following:</w:t>
      </w:r>
    </w:p>
    <w:p w14:paraId="74CB282C" w14:textId="79860929" w:rsidR="0073439A" w:rsidRPr="000004D7" w:rsidRDefault="00981FE7" w:rsidP="00AB4EA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b/>
          <w:bCs/>
          <w:color w:val="1D2125"/>
        </w:rPr>
      </w:pPr>
      <w:r w:rsidRPr="000004D7">
        <w:rPr>
          <w:b/>
          <w:bCs/>
          <w:color w:val="1D2125"/>
        </w:rPr>
        <w:t>Express </w:t>
      </w:r>
      <w:r w:rsidRPr="000004D7">
        <w:rPr>
          <w:b/>
          <w:bCs/>
          <w:i/>
          <w:iCs/>
          <w:color w:val="1D2125"/>
        </w:rPr>
        <w:t>h </w:t>
      </w:r>
      <w:r w:rsidRPr="000004D7">
        <w:rPr>
          <w:b/>
          <w:bCs/>
          <w:color w:val="1D2125"/>
        </w:rPr>
        <w:t>and the base </w:t>
      </w:r>
      <w:r w:rsidRPr="000004D7">
        <w:rPr>
          <w:b/>
          <w:bCs/>
          <w:i/>
          <w:iCs/>
          <w:color w:val="1D2125"/>
        </w:rPr>
        <w:t>b </w:t>
      </w:r>
      <w:r w:rsidRPr="000004D7">
        <w:rPr>
          <w:b/>
          <w:bCs/>
          <w:color w:val="1D2125"/>
        </w:rPr>
        <w:t>of the isosceles triangle shown in terms of θ and </w:t>
      </w:r>
      <w:r w:rsidRPr="000004D7">
        <w:rPr>
          <w:b/>
          <w:bCs/>
          <w:i/>
          <w:iCs/>
          <w:color w:val="1D2125"/>
        </w:rPr>
        <w:t>r</w:t>
      </w:r>
      <w:r w:rsidRPr="000004D7">
        <w:rPr>
          <w:b/>
          <w:bCs/>
          <w:color w:val="1D2125"/>
        </w:rPr>
        <w:t>.</w:t>
      </w:r>
    </w:p>
    <w:p w14:paraId="530F2A36" w14:textId="29A93F2C" w:rsidR="0073439A" w:rsidRPr="000004D7" w:rsidRDefault="0073439A" w:rsidP="0073439A">
      <w:pPr>
        <w:pStyle w:val="NormalWeb"/>
        <w:shd w:val="clear" w:color="auto" w:fill="FFFFFF"/>
        <w:spacing w:before="0" w:beforeAutospacing="0"/>
        <w:jc w:val="center"/>
        <w:rPr>
          <w:color w:val="1D2125"/>
        </w:rPr>
      </w:pPr>
      <m:oMath>
        <m:r>
          <w:rPr>
            <w:rFonts w:ascii="Cambria Math" w:hAnsi="Cambria Math"/>
            <w:color w:val="1D2125"/>
          </w:rPr>
          <m:t>h=rcos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θ</m:t>
            </m:r>
          </m:num>
          <m:den>
            <m:r>
              <w:rPr>
                <w:rFonts w:ascii="Cambria Math" w:hAnsi="Cambria Math"/>
                <w:color w:val="1D2125"/>
              </w:rPr>
              <m:t>2</m:t>
            </m:r>
          </m:den>
        </m:f>
      </m:oMath>
      <w:r w:rsidRPr="000004D7">
        <w:rPr>
          <w:color w:val="1D2125"/>
        </w:rPr>
        <w:t xml:space="preserve"> and </w:t>
      </w:r>
      <m:oMath>
        <m:r>
          <w:rPr>
            <w:rFonts w:ascii="Cambria Math" w:hAnsi="Cambria Math"/>
            <w:color w:val="1D2125"/>
          </w:rPr>
          <m:t>b=2rsin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θ</m:t>
            </m:r>
          </m:num>
          <m:den>
            <m:r>
              <w:rPr>
                <w:rFonts w:ascii="Cambria Math" w:hAnsi="Cambria Math"/>
                <w:color w:val="1D2125"/>
              </w:rPr>
              <m:t>2</m:t>
            </m:r>
          </m:den>
        </m:f>
      </m:oMath>
    </w:p>
    <w:p w14:paraId="49ACAB6A" w14:textId="1342067A" w:rsidR="00981FE7" w:rsidRPr="000004D7" w:rsidRDefault="00981FE7" w:rsidP="00AB4EA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b/>
          <w:bCs/>
          <w:color w:val="1D2125"/>
        </w:rPr>
      </w:pPr>
      <w:r w:rsidRPr="000004D7">
        <w:rPr>
          <w:b/>
          <w:bCs/>
          <w:color w:val="1D2125"/>
        </w:rPr>
        <w:t>Express the area of the isosceles triangle in terms of θ and </w:t>
      </w:r>
      <w:r w:rsidRPr="000004D7">
        <w:rPr>
          <w:b/>
          <w:bCs/>
          <w:i/>
          <w:iCs/>
          <w:color w:val="1D2125"/>
        </w:rPr>
        <w:t>r</w:t>
      </w:r>
      <w:r w:rsidRPr="000004D7">
        <w:rPr>
          <w:b/>
          <w:bCs/>
          <w:color w:val="1D2125"/>
        </w:rPr>
        <w:t>. Use trig identities as needed.</w:t>
      </w:r>
    </w:p>
    <w:p w14:paraId="2B5B1848" w14:textId="77777777" w:rsidR="0073439A" w:rsidRPr="000004D7" w:rsidRDefault="0073439A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area=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bh</m:t>
          </m:r>
        </m:oMath>
      </m:oMathPara>
    </w:p>
    <w:p w14:paraId="675084E4" w14:textId="2476CD82" w:rsidR="0073439A" w:rsidRPr="000004D7" w:rsidRDefault="0073439A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.2rsin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θ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.rcos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θ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</m:oMath>
      </m:oMathPara>
    </w:p>
    <w:p w14:paraId="6FD7697C" w14:textId="17438847" w:rsidR="0073439A" w:rsidRPr="000004D7" w:rsidRDefault="0073439A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r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sin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θ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.cos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θ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</m:oMath>
      </m:oMathPara>
    </w:p>
    <w:p w14:paraId="0D243A21" w14:textId="77777777" w:rsidR="00D753D2" w:rsidRPr="000004D7" w:rsidRDefault="00D753D2" w:rsidP="00981FE7">
      <w:pPr>
        <w:pStyle w:val="NormalWeb"/>
        <w:shd w:val="clear" w:color="auto" w:fill="FFFFFF"/>
        <w:spacing w:before="0" w:beforeAutospacing="0"/>
        <w:rPr>
          <w:color w:val="0F0F0F"/>
        </w:rPr>
      </w:pPr>
      <w:r w:rsidRPr="000004D7">
        <w:rPr>
          <w:color w:val="1D2125"/>
        </w:rPr>
        <w:t xml:space="preserve">Using </w:t>
      </w:r>
      <w:r w:rsidRPr="000004D7">
        <w:rPr>
          <w:color w:val="0F0F0F"/>
        </w:rPr>
        <w:t>double angle identity for sine and cosine</w:t>
      </w:r>
      <w:r w:rsidRPr="000004D7">
        <w:rPr>
          <w:color w:val="0F0F0F"/>
        </w:rPr>
        <w:t>,</w:t>
      </w:r>
    </w:p>
    <w:p w14:paraId="6715364E" w14:textId="36C5028D" w:rsidR="00D753D2" w:rsidRPr="000004D7" w:rsidRDefault="00D753D2" w:rsidP="00981FE7">
      <w:pPr>
        <w:pStyle w:val="NormalWeb"/>
        <w:shd w:val="clear" w:color="auto" w:fill="FFFFFF"/>
        <w:spacing w:before="0" w:beforeAutospacing="0"/>
        <w:rPr>
          <w:color w:val="0F0F0F"/>
        </w:rPr>
      </w:pPr>
      <m:oMathPara>
        <m:oMath>
          <m:r>
            <w:rPr>
              <w:rFonts w:ascii="Cambria Math" w:hAnsi="Cambria Math"/>
              <w:color w:val="0F0F0F"/>
            </w:rPr>
            <m:t>sin2θ=2sinθcosθ</m:t>
          </m:r>
        </m:oMath>
      </m:oMathPara>
    </w:p>
    <w:p w14:paraId="4956E369" w14:textId="352C4B13" w:rsidR="00D753D2" w:rsidRPr="000004D7" w:rsidRDefault="00D753D2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sin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θ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.cos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θ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2.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D2125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θ</m:t>
                  </m:r>
                </m:e>
              </m:d>
            </m:e>
          </m:func>
        </m:oMath>
      </m:oMathPara>
    </w:p>
    <w:p w14:paraId="36503709" w14:textId="35927224" w:rsidR="00502D35" w:rsidRPr="000004D7" w:rsidRDefault="00502D35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 xml:space="preserve">Therefore, area of one triangle </w:t>
      </w:r>
      <m:oMath>
        <m: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r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  <m:r>
          <w:rPr>
            <w:rFonts w:ascii="Cambria Math" w:hAnsi="Cambria Math"/>
            <w:color w:val="1D2125"/>
          </w:rPr>
          <m:t>.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1</m:t>
            </m:r>
          </m:num>
          <m:den>
            <m:r>
              <w:rPr>
                <w:rFonts w:ascii="Cambria Math" w:hAnsi="Cambria Math"/>
                <w:color w:val="1D2125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1D2125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1D2125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dPr>
              <m:e>
                <m:r>
                  <w:rPr>
                    <w:rFonts w:ascii="Cambria Math" w:hAnsi="Cambria Math"/>
                    <w:color w:val="1D2125"/>
                  </w:rPr>
                  <m:t>θ</m:t>
                </m:r>
              </m:e>
            </m:d>
          </m:e>
        </m:func>
      </m:oMath>
    </w:p>
    <w:p w14:paraId="74293D48" w14:textId="446F3E29" w:rsidR="00D753D2" w:rsidRPr="000004D7" w:rsidRDefault="00D753D2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 xml:space="preserve">Since n triangles are needed to form the circle, </w:t>
      </w:r>
      <m:oMath>
        <m:r>
          <w:rPr>
            <w:rFonts w:ascii="Cambria Math" w:hAnsi="Cambria Math"/>
            <w:color w:val="1D2125"/>
          </w:rPr>
          <m:t>θ=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2π</m:t>
            </m:r>
          </m:num>
          <m:den>
            <m:r>
              <w:rPr>
                <w:rFonts w:ascii="Cambria Math" w:hAnsi="Cambria Math"/>
                <w:color w:val="1D2125"/>
              </w:rPr>
              <m:t>n</m:t>
            </m:r>
          </m:den>
        </m:f>
      </m:oMath>
      <w:r w:rsidRPr="000004D7">
        <w:rPr>
          <w:color w:val="1D2125"/>
        </w:rPr>
        <w:t xml:space="preserve">. </w:t>
      </w:r>
    </w:p>
    <w:p w14:paraId="632877B7" w14:textId="0276D984" w:rsidR="00D753D2" w:rsidRPr="000004D7" w:rsidRDefault="00015274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Area of a circle = total area of n triangles</m:t>
          </m:r>
        </m:oMath>
      </m:oMathPara>
    </w:p>
    <w:p w14:paraId="154607A7" w14:textId="0E6720B0" w:rsidR="004315C2" w:rsidRPr="000004D7" w:rsidRDefault="00502D35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=n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color w:val="1D2125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1D2125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1D2125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5B88ECF5" w14:textId="255DBE0E" w:rsidR="00502D35" w:rsidRPr="000004D7" w:rsidRDefault="000F1A85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D2125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n</m:t>
                      </m:r>
                    </m:den>
                  </m:f>
                </m:e>
              </m:d>
            </m:e>
          </m:func>
        </m:oMath>
      </m:oMathPara>
    </w:p>
    <w:p w14:paraId="5F3B544C" w14:textId="4F489A66" w:rsidR="00514A3D" w:rsidRPr="000004D7" w:rsidRDefault="004315C2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 xml:space="preserve">Multiply by </w:t>
      </w:r>
      <m:oMath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fPr>
              <m:num>
                <m:r>
                  <w:rPr>
                    <w:rFonts w:ascii="Cambria Math" w:hAnsi="Cambria Math"/>
                    <w:color w:val="1D2125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color w:val="1D2125"/>
                  </w:rPr>
                  <m:t>n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fPr>
              <m:num>
                <m:r>
                  <w:rPr>
                    <w:rFonts w:ascii="Cambria Math" w:hAnsi="Cambria Math"/>
                    <w:color w:val="1D2125"/>
                  </w:rPr>
                  <m:t>2π</m:t>
                </m:r>
              </m:num>
              <m:den>
                <m:r>
                  <w:rPr>
                    <w:rFonts w:ascii="Cambria Math" w:hAnsi="Cambria Math"/>
                    <w:color w:val="1D2125"/>
                  </w:rPr>
                  <m:t>n</m:t>
                </m:r>
              </m:den>
            </m:f>
          </m:den>
        </m:f>
      </m:oMath>
      <w:r w:rsidRPr="000004D7">
        <w:rPr>
          <w:color w:val="1D2125"/>
        </w:rPr>
        <w:t xml:space="preserve"> as follows:</w:t>
      </w:r>
    </w:p>
    <w:p w14:paraId="3388EA49" w14:textId="77777777" w:rsidR="004315C2" w:rsidRPr="000004D7" w:rsidRDefault="004315C2" w:rsidP="004315C2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D2125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n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n</m:t>
                  </m:r>
                </m:den>
              </m:f>
            </m:den>
          </m:f>
          <m:r>
            <w:rPr>
              <w:rFonts w:ascii="Cambria Math" w:hAnsi="Cambria Math"/>
              <w:color w:val="1D2125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D2125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n</m:t>
                      </m:r>
                    </m:den>
                  </m:f>
                </m:e>
              </m:d>
            </m:e>
          </m:func>
        </m:oMath>
      </m:oMathPara>
    </w:p>
    <w:p w14:paraId="3731C928" w14:textId="23CD6A6E" w:rsidR="00000294" w:rsidRPr="000004D7" w:rsidRDefault="00000294" w:rsidP="004315C2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 xml:space="preserve">Cancelling out </w:t>
      </w:r>
      <m:oMath>
        <m:r>
          <w:rPr>
            <w:rFonts w:ascii="Cambria Math" w:hAnsi="Cambria Math"/>
            <w:color w:val="1D2125"/>
          </w:rPr>
          <m:t>n</m:t>
        </m:r>
      </m:oMath>
      <w:r w:rsidRPr="000004D7">
        <w:rPr>
          <w:color w:val="1D2125"/>
        </w:rPr>
        <w:t xml:space="preserve"> and 2 as follows: </w:t>
      </w:r>
    </w:p>
    <w:p w14:paraId="7E2D09A5" w14:textId="6267648A" w:rsidR="004315C2" w:rsidRPr="000004D7" w:rsidRDefault="004315C2" w:rsidP="004315C2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strike/>
                      <w:color w:val="1D2125"/>
                    </w:rPr>
                    <m:t>2</m:t>
                  </m:r>
                  <m:r>
                    <w:rPr>
                      <w:rFonts w:ascii="Cambria Math" w:hAnsi="Cambria Math"/>
                      <w:color w:val="1D2125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trike/>
                      <w:color w:val="1D2125"/>
                    </w:rPr>
                    <m:t>n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strike/>
                      <w:color w:val="1D2125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trike/>
                      <w:color w:val="1D2125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color w:val="1D2125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1D2125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1D2125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1D2125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1D2125"/>
                                </w:rPr>
                                <m:t>2π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1D2125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D2125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n</m:t>
                      </m:r>
                    </m:den>
                  </m:f>
                </m:den>
              </m:f>
            </m:e>
          </m:d>
        </m:oMath>
      </m:oMathPara>
    </w:p>
    <w:p w14:paraId="1900197F" w14:textId="4574600D" w:rsidR="004315C2" w:rsidRPr="000004D7" w:rsidRDefault="00000294" w:rsidP="004315C2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r>
            <w:rPr>
              <w:rFonts w:ascii="Cambria Math" w:hAnsi="Cambria Math"/>
              <w:color w:val="1D2125"/>
            </w:rPr>
            <m:t>π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r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color w:val="1D2125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1D2125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1D2125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1D2125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1D2125"/>
                                </w:rPr>
                                <m:t>2π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1D2125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1D2125"/>
                        </w:rPr>
                        <m:t>2π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n</m:t>
                      </m:r>
                    </m:den>
                  </m:f>
                </m:den>
              </m:f>
            </m:e>
          </m:d>
        </m:oMath>
      </m:oMathPara>
    </w:p>
    <w:p w14:paraId="0038DB0D" w14:textId="25037548" w:rsidR="00981FE7" w:rsidRPr="000004D7" w:rsidRDefault="00981FE7" w:rsidP="00AB4EA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rPr>
          <w:b/>
          <w:bCs/>
          <w:color w:val="1D2125"/>
        </w:rPr>
      </w:pPr>
      <w:r w:rsidRPr="000004D7">
        <w:rPr>
          <w:b/>
          <w:bCs/>
          <w:color w:val="1D2125"/>
        </w:rPr>
        <w:t>Describe what happens as </w:t>
      </w:r>
      <w:r w:rsidRPr="000004D7">
        <w:rPr>
          <w:b/>
          <w:bCs/>
          <w:i/>
          <w:iCs/>
          <w:color w:val="1D2125"/>
        </w:rPr>
        <w:t>n </w:t>
      </w:r>
      <w:r w:rsidRPr="000004D7">
        <w:rPr>
          <w:b/>
          <w:bCs/>
          <w:color w:val="1D2125"/>
        </w:rPr>
        <w:t>goes to infinity, (notice the polygon fills the circle, the angle θ goes to zero)</w:t>
      </w:r>
    </w:p>
    <w:p w14:paraId="2400F56A" w14:textId="0D776F3A" w:rsidR="0012389A" w:rsidRPr="000004D7" w:rsidRDefault="00000294" w:rsidP="00981FE7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 xml:space="preserve">As n approaches infinity, the number of triangles (n) form a perfect circle, as shown below. </w:t>
      </w:r>
    </w:p>
    <w:p w14:paraId="44109ABC" w14:textId="4FBAED86" w:rsidR="00000294" w:rsidRPr="000004D7" w:rsidRDefault="00000294" w:rsidP="00000294">
      <w:pPr>
        <w:pStyle w:val="NormalWeb"/>
        <w:shd w:val="clear" w:color="auto" w:fill="FFFFFF"/>
        <w:spacing w:before="0" w:beforeAutospacing="0"/>
        <w:jc w:val="center"/>
        <w:rPr>
          <w:color w:val="1D2125"/>
        </w:rPr>
      </w:pPr>
      <w:r w:rsidRPr="000004D7">
        <w:rPr>
          <w:color w:val="1D2125"/>
        </w:rPr>
        <w:drawing>
          <wp:inline distT="0" distB="0" distL="0" distR="0" wp14:anchorId="51370B0A" wp14:editId="2B30D67F">
            <wp:extent cx="2971800" cy="2368945"/>
            <wp:effectExtent l="0" t="0" r="0" b="0"/>
            <wp:docPr id="139386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62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6834" cy="237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8E14" w14:textId="1F989626" w:rsidR="00000294" w:rsidRPr="000004D7" w:rsidRDefault="00000294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 xml:space="preserve">Total area of the </w:t>
      </w:r>
      <w:r w:rsidR="00B51333" w:rsidRPr="000004D7">
        <w:rPr>
          <w:color w:val="1D2125"/>
        </w:rPr>
        <w:t>circle when applying limits becomes:</w:t>
      </w:r>
    </w:p>
    <w:p w14:paraId="0581E510" w14:textId="437FB1B9" w:rsidR="00B51333" w:rsidRPr="000004D7" w:rsidRDefault="00B51333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Area=</m:t>
          </m:r>
          <m:func>
            <m:funcPr>
              <m:ctrlPr>
                <w:rPr>
                  <w:rFonts w:ascii="Cambria Math" w:hAnsi="Cambria Math"/>
                  <w:i/>
                  <w:color w:val="1D2125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1D2125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1D2125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hAnsi="Cambria Math"/>
                  <w:color w:val="1D2125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color w:val="1D2125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1D2125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1D2125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1D2125"/>
                                    </w:rPr>
                                    <m:t>2π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1D2125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1D2125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n</m:t>
                          </m:r>
                        </m:den>
                      </m:f>
                    </m:den>
                  </m:f>
                </m:e>
              </m:d>
              <m:r>
                <w:rPr>
                  <w:rFonts w:ascii="Cambria Math" w:hAnsi="Cambria Math"/>
                  <w:color w:val="1D2125"/>
                </w:rPr>
                <m:t xml:space="preserve"> </m:t>
              </m:r>
            </m:e>
          </m:func>
        </m:oMath>
      </m:oMathPara>
    </w:p>
    <w:p w14:paraId="0D3E7C96" w14:textId="14D1EDFC" w:rsidR="00B51333" w:rsidRPr="000004D7" w:rsidRDefault="00B51333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w:lastRenderedPageBreak/>
            <m:t>=</m:t>
          </m:r>
          <m:r>
            <w:rPr>
              <w:rFonts w:ascii="Cambria Math" w:hAnsi="Cambria Math"/>
              <w:color w:val="1D2125"/>
            </w:rPr>
            <m:t>π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r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.</m:t>
          </m:r>
          <m:func>
            <m:funcPr>
              <m:ctrlPr>
                <w:rPr>
                  <w:rFonts w:ascii="Cambria Math" w:hAnsi="Cambria Math"/>
                  <w:i/>
                  <w:color w:val="1D2125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1D2125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1D2125"/>
                    </w:rPr>
                    <m:t>n→∞</m:t>
                  </m:r>
                </m:lim>
              </m:limLow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color w:val="1D2125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1D2125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1D2125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1D2125"/>
                                    </w:rPr>
                                    <m:t>2π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1D2125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1D2125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2π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n</m:t>
                          </m:r>
                        </m:den>
                      </m:f>
                    </m:den>
                  </m:f>
                </m:e>
              </m:d>
            </m:e>
          </m:func>
        </m:oMath>
      </m:oMathPara>
    </w:p>
    <w:p w14:paraId="7792082D" w14:textId="7D4BAB91" w:rsidR="00AB4EAE" w:rsidRPr="000004D7" w:rsidRDefault="00AB4EAE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 xml:space="preserve">Since </w:t>
      </w:r>
      <m:oMath>
        <m:r>
          <w:rPr>
            <w:rFonts w:ascii="Cambria Math" w:hAnsi="Cambria Math"/>
            <w:color w:val="1D2125"/>
          </w:rPr>
          <m:t>θ=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2π</m:t>
            </m:r>
          </m:num>
          <m:den>
            <m:r>
              <w:rPr>
                <w:rFonts w:ascii="Cambria Math" w:hAnsi="Cambria Math"/>
                <w:color w:val="1D2125"/>
              </w:rPr>
              <m:t>n</m:t>
            </m:r>
          </m:den>
        </m:f>
      </m:oMath>
      <w:r w:rsidRPr="000004D7">
        <w:rPr>
          <w:color w:val="1D2125"/>
        </w:rPr>
        <w:t xml:space="preserve"> as earlier mentioned, as </w:t>
      </w:r>
      <m:oMath>
        <m:r>
          <w:rPr>
            <w:rFonts w:ascii="Cambria Math" w:hAnsi="Cambria Math"/>
            <w:color w:val="1D2125"/>
          </w:rPr>
          <m:t>n→∞</m:t>
        </m:r>
      </m:oMath>
      <w:r w:rsidRPr="000004D7">
        <w:rPr>
          <w:color w:val="1D2125"/>
        </w:rPr>
        <w:t xml:space="preserve">, </w:t>
      </w:r>
      <m:oMath>
        <m:r>
          <w:rPr>
            <w:rFonts w:ascii="Cambria Math" w:hAnsi="Cambria Math"/>
            <w:color w:val="1D2125"/>
          </w:rPr>
          <m:t>θ</m:t>
        </m:r>
        <m:r>
          <w:rPr>
            <w:rFonts w:ascii="Cambria Math" w:hAnsi="Cambria Math"/>
            <w:color w:val="1D2125"/>
          </w:rPr>
          <m:t>→</m:t>
        </m:r>
        <m:r>
          <w:rPr>
            <w:rFonts w:ascii="Cambria Math" w:hAnsi="Cambria Math"/>
            <w:color w:val="1D2125"/>
          </w:rPr>
          <m:t>0</m:t>
        </m:r>
      </m:oMath>
      <w:r w:rsidRPr="000004D7">
        <w:rPr>
          <w:color w:val="1D2125"/>
        </w:rPr>
        <w:t xml:space="preserve">. Therefore, </w:t>
      </w:r>
    </w:p>
    <w:p w14:paraId="6F0AF5C3" w14:textId="3A3EFAFE" w:rsidR="00AB4EAE" w:rsidRPr="000004D7" w:rsidRDefault="00AB4EAE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area of the circle=</m:t>
          </m:r>
          <m:r>
            <w:rPr>
              <w:rFonts w:ascii="Cambria Math" w:hAnsi="Cambria Math"/>
              <w:color w:val="1D2125"/>
            </w:rPr>
            <m:t>π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r</m:t>
              </m:r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.</m:t>
          </m:r>
          <m:func>
            <m:funcPr>
              <m:ctrlPr>
                <w:rPr>
                  <w:rFonts w:ascii="Cambria Math" w:hAnsi="Cambria Math"/>
                  <w:i/>
                  <w:color w:val="1D2125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1D2125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1D2125"/>
                    </w:rPr>
                    <m:t>θ→</m:t>
                  </m:r>
                  <m:r>
                    <w:rPr>
                      <w:rFonts w:ascii="Cambria Math" w:hAnsi="Cambria Math"/>
                      <w:color w:val="1D2125"/>
                    </w:rPr>
                    <m:t>0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color w:val="1D2125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θ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  <w:color w:val="1D2125"/>
                        </w:rPr>
                        <m:t>θ</m:t>
                      </m:r>
                    </m:den>
                  </m:f>
                </m:e>
              </m:d>
            </m:e>
          </m:func>
        </m:oMath>
      </m:oMathPara>
    </w:p>
    <w:p w14:paraId="07335031" w14:textId="0CE35EDE" w:rsidR="00AB4EAE" w:rsidRPr="000004D7" w:rsidRDefault="00AB4EAE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0004D7">
        <w:rPr>
          <w:color w:val="1D2125"/>
        </w:rPr>
        <w:t xml:space="preserve">Given that </w:t>
      </w:r>
      <m:oMath>
        <m:func>
          <m:funcPr>
            <m:ctrlPr>
              <w:rPr>
                <w:rFonts w:ascii="Cambria Math" w:hAnsi="Cambria Math"/>
                <w:i/>
                <w:color w:val="1D2125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1D2125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1D2125"/>
                  </w:rPr>
                  <m:t>θ→0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1D2125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color w:val="1D212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1D2125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1D2125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1D2125"/>
                      </w:rPr>
                      <m:t>θ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1D2125"/>
          </w:rPr>
          <m:t>=1</m:t>
        </m:r>
      </m:oMath>
      <w:r w:rsidRPr="000004D7">
        <w:rPr>
          <w:color w:val="1D2125"/>
        </w:rPr>
        <w:t xml:space="preserve">, </w:t>
      </w:r>
      <m:oMath>
        <m:r>
          <w:rPr>
            <w:rFonts w:ascii="Cambria Math" w:hAnsi="Cambria Math"/>
            <w:color w:val="1D2125"/>
          </w:rPr>
          <m:t>π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r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  <m:r>
          <w:rPr>
            <w:rFonts w:ascii="Cambria Math" w:hAnsi="Cambria Math"/>
            <w:color w:val="1D2125"/>
          </w:rPr>
          <m:t>.</m:t>
        </m:r>
        <m:func>
          <m:funcPr>
            <m:ctrlPr>
              <w:rPr>
                <w:rFonts w:ascii="Cambria Math" w:hAnsi="Cambria Math"/>
                <w:i/>
                <w:color w:val="1D2125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color w:val="1D2125"/>
                  </w:rPr>
                  <m:t>lim</m:t>
                </m:r>
              </m:e>
              <m:lim>
                <m:r>
                  <w:rPr>
                    <w:rFonts w:ascii="Cambria Math" w:hAnsi="Cambria Math"/>
                    <w:color w:val="1D2125"/>
                  </w:rPr>
                  <m:t>θ→0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i/>
                    <w:color w:val="1D2125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color w:val="1D2125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color w:val="1D2125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1D2125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1D2125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color w:val="1D2125"/>
                      </w:rPr>
                      <m:t>θ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1D2125"/>
          </w:rPr>
          <m:t>=</m:t>
        </m:r>
        <m:r>
          <w:rPr>
            <w:rFonts w:ascii="Cambria Math" w:hAnsi="Cambria Math"/>
            <w:color w:val="1D2125"/>
          </w:rPr>
          <m:t>π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r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  <m:r>
          <w:rPr>
            <w:rFonts w:ascii="Cambria Math" w:hAnsi="Cambria Math"/>
            <w:color w:val="1D2125"/>
          </w:rPr>
          <m:t>.1</m:t>
        </m:r>
      </m:oMath>
      <w:r w:rsidRPr="000004D7">
        <w:rPr>
          <w:color w:val="1D2125"/>
        </w:rPr>
        <w:t xml:space="preserve">, hence the formula for calculating area of a circle would become </w:t>
      </w:r>
      <m:oMath>
        <m:r>
          <w:rPr>
            <w:rFonts w:ascii="Cambria Math" w:hAnsi="Cambria Math"/>
            <w:color w:val="1D2125"/>
          </w:rPr>
          <m:t>π</m:t>
        </m:r>
        <m:sSup>
          <m:sSupPr>
            <m:ctrlPr>
              <w:rPr>
                <w:rFonts w:ascii="Cambria Math" w:hAnsi="Cambria Math"/>
                <w:i/>
                <w:color w:val="1D2125"/>
              </w:rPr>
            </m:ctrlPr>
          </m:sSupPr>
          <m:e>
            <m:r>
              <w:rPr>
                <w:rFonts w:ascii="Cambria Math" w:hAnsi="Cambria Math"/>
                <w:color w:val="1D2125"/>
              </w:rPr>
              <m:t>r</m:t>
            </m:r>
          </m:e>
          <m:sup>
            <m:r>
              <w:rPr>
                <w:rFonts w:ascii="Cambria Math" w:hAnsi="Cambria Math"/>
                <w:color w:val="1D2125"/>
              </w:rPr>
              <m:t>2</m:t>
            </m:r>
          </m:sup>
        </m:sSup>
      </m:oMath>
      <w:r w:rsidRPr="000004D7">
        <w:rPr>
          <w:color w:val="1D2125"/>
        </w:rPr>
        <w:t xml:space="preserve">. </w:t>
      </w:r>
    </w:p>
    <w:p w14:paraId="59EE4085" w14:textId="77777777" w:rsidR="00AB4EAE" w:rsidRDefault="00AB4EAE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13B55792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5B3C3886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384D7686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48CDD6D1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516CAA4F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1AD36C65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5179043D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04681CA3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31FEA644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7730388C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774DA506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16701AAB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70F140BB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1A1837FF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7684E62E" w14:textId="77777777" w:rsid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2B17D061" w14:textId="77777777" w:rsidR="000004D7" w:rsidRPr="000004D7" w:rsidRDefault="000004D7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155D73CF" w14:textId="77777777" w:rsidR="00AB4EAE" w:rsidRPr="000004D7" w:rsidRDefault="00AB4EAE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0A8D4B47" w14:textId="2655E6C6" w:rsidR="00AB4EAE" w:rsidRPr="000004D7" w:rsidRDefault="00AB4EAE" w:rsidP="000004D7">
      <w:pPr>
        <w:pStyle w:val="NormalWeb"/>
        <w:shd w:val="clear" w:color="auto" w:fill="FFFFFF"/>
        <w:spacing w:before="0" w:beforeAutospacing="0"/>
        <w:jc w:val="center"/>
        <w:rPr>
          <w:color w:val="1D2125"/>
        </w:rPr>
      </w:pPr>
      <w:r w:rsidRPr="000004D7">
        <w:rPr>
          <w:color w:val="1D2125"/>
        </w:rPr>
        <w:lastRenderedPageBreak/>
        <w:t>References</w:t>
      </w:r>
    </w:p>
    <w:p w14:paraId="25FD23BF" w14:textId="20372292" w:rsidR="000004D7" w:rsidRPr="000004D7" w:rsidRDefault="000004D7" w:rsidP="000004D7">
      <w:pPr>
        <w:pStyle w:val="NormalWeb"/>
        <w:shd w:val="clear" w:color="auto" w:fill="FFFFFF"/>
        <w:spacing w:before="0" w:beforeAutospacing="0"/>
        <w:ind w:left="720" w:hanging="720"/>
        <w:rPr>
          <w:color w:val="1D2125"/>
        </w:rPr>
      </w:pPr>
      <w:r w:rsidRPr="000004D7">
        <w:rPr>
          <w:color w:val="1D2125"/>
        </w:rPr>
        <w:t xml:space="preserve">Herman, E., &amp; Strang, G. (2020). </w:t>
      </w:r>
      <w:r w:rsidRPr="000004D7">
        <w:rPr>
          <w:i/>
          <w:iCs/>
          <w:color w:val="1D2125"/>
        </w:rPr>
        <w:t>Calculus volume 1.</w:t>
      </w:r>
      <w:r w:rsidRPr="000004D7">
        <w:rPr>
          <w:color w:val="1D2125"/>
        </w:rPr>
        <w:t xml:space="preserve"> Rice University.</w:t>
      </w:r>
      <w:r w:rsidR="007A4258" w:rsidRPr="007A4258">
        <w:t xml:space="preserve"> </w:t>
      </w:r>
      <w:hyperlink r:id="rId7" w:history="1">
        <w:r w:rsidR="00082CF0" w:rsidRPr="00DF1331">
          <w:rPr>
            <w:rStyle w:val="Hyperlink"/>
          </w:rPr>
          <w:t>https://openstax.org/details/books/calculus-volume-1</w:t>
        </w:r>
      </w:hyperlink>
      <w:r w:rsidR="00082CF0">
        <w:rPr>
          <w:color w:val="1D2125"/>
        </w:rPr>
        <w:t xml:space="preserve"> </w:t>
      </w:r>
    </w:p>
    <w:p w14:paraId="7B510CDB" w14:textId="77777777" w:rsidR="000004D7" w:rsidRDefault="000004D7" w:rsidP="000004D7">
      <w:pPr>
        <w:pStyle w:val="NormalWeb"/>
        <w:shd w:val="clear" w:color="auto" w:fill="FFFFFF"/>
        <w:spacing w:before="0" w:beforeAutospacing="0"/>
        <w:ind w:left="720" w:hanging="720"/>
        <w:rPr>
          <w:color w:val="1D2125"/>
        </w:rPr>
      </w:pPr>
      <w:r w:rsidRPr="000004D7">
        <w:rPr>
          <w:color w:val="1D2125"/>
        </w:rPr>
        <w:t>Math with Alex</w:t>
      </w:r>
      <w:r w:rsidRPr="000004D7">
        <w:rPr>
          <w:color w:val="1D2125"/>
        </w:rPr>
        <w:t>. (</w:t>
      </w:r>
      <w:r w:rsidRPr="000004D7">
        <w:rPr>
          <w:color w:val="1D2125"/>
        </w:rPr>
        <w:t>Aug 9, 2023</w:t>
      </w:r>
      <w:r w:rsidRPr="000004D7">
        <w:rPr>
          <w:color w:val="1D2125"/>
        </w:rPr>
        <w:t xml:space="preserve">). </w:t>
      </w:r>
      <w:r w:rsidRPr="000004D7">
        <w:rPr>
          <w:i/>
          <w:iCs/>
          <w:color w:val="1D2125"/>
        </w:rPr>
        <w:t xml:space="preserve">Deriving the </w:t>
      </w:r>
      <w:r w:rsidRPr="000004D7">
        <w:rPr>
          <w:i/>
          <w:iCs/>
          <w:color w:val="1D2125"/>
        </w:rPr>
        <w:t>area formula of a circle using limits.</w:t>
      </w:r>
      <w:r w:rsidRPr="000004D7">
        <w:rPr>
          <w:color w:val="1D2125"/>
        </w:rPr>
        <w:t xml:space="preserve"> </w:t>
      </w:r>
      <w:hyperlink r:id="rId8" w:history="1">
        <w:r w:rsidRPr="00DF1331">
          <w:rPr>
            <w:rStyle w:val="Hyperlink"/>
          </w:rPr>
          <w:t>https://www.youtube.com/watch?v=fnbSGxuHFJc</w:t>
        </w:r>
      </w:hyperlink>
    </w:p>
    <w:p w14:paraId="56FB8AC1" w14:textId="77777777" w:rsidR="00AB4EAE" w:rsidRPr="000004D7" w:rsidRDefault="00AB4EAE" w:rsidP="00000294">
      <w:pPr>
        <w:pStyle w:val="NormalWeb"/>
        <w:shd w:val="clear" w:color="auto" w:fill="FFFFFF"/>
        <w:spacing w:before="0" w:beforeAutospacing="0"/>
        <w:rPr>
          <w:color w:val="1D2125"/>
        </w:rPr>
      </w:pPr>
    </w:p>
    <w:p w14:paraId="11CCA957" w14:textId="77777777" w:rsidR="00D13054" w:rsidRPr="000004D7" w:rsidRDefault="00D13054">
      <w:pPr>
        <w:rPr>
          <w:rFonts w:ascii="Times New Roman" w:hAnsi="Times New Roman" w:cs="Times New Roman"/>
          <w:sz w:val="24"/>
          <w:szCs w:val="24"/>
        </w:rPr>
      </w:pPr>
    </w:p>
    <w:sectPr w:rsidR="00D13054" w:rsidRPr="00000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A5C1C"/>
    <w:multiLevelType w:val="hybridMultilevel"/>
    <w:tmpl w:val="74D458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37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xMDewMDE3MTAwMTVV0lEKTi0uzszPAykwrAUAyLrY0iwAAAA="/>
  </w:docVars>
  <w:rsids>
    <w:rsidRoot w:val="00981FE7"/>
    <w:rsid w:val="00000294"/>
    <w:rsid w:val="000004D7"/>
    <w:rsid w:val="00015274"/>
    <w:rsid w:val="00082CF0"/>
    <w:rsid w:val="000F1A85"/>
    <w:rsid w:val="0012389A"/>
    <w:rsid w:val="002268E1"/>
    <w:rsid w:val="004315C2"/>
    <w:rsid w:val="004869CB"/>
    <w:rsid w:val="00502D35"/>
    <w:rsid w:val="00514A3D"/>
    <w:rsid w:val="0073439A"/>
    <w:rsid w:val="007A4258"/>
    <w:rsid w:val="00981FE7"/>
    <w:rsid w:val="00A35799"/>
    <w:rsid w:val="00AB4EAE"/>
    <w:rsid w:val="00B51333"/>
    <w:rsid w:val="00C928F2"/>
    <w:rsid w:val="00CB4492"/>
    <w:rsid w:val="00D13054"/>
    <w:rsid w:val="00D753D2"/>
    <w:rsid w:val="00D7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B2F7"/>
  <w15:chartTrackingRefBased/>
  <w15:docId w15:val="{1702268B-100A-43AA-8BA3-5CDC99A3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1FE7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3439A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004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4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0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fnbSGxuHFJ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stax.org/details/books/calculus-volume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11</cp:revision>
  <cp:lastPrinted>2023-11-26T17:31:00Z</cp:lastPrinted>
  <dcterms:created xsi:type="dcterms:W3CDTF">2023-11-26T15:44:00Z</dcterms:created>
  <dcterms:modified xsi:type="dcterms:W3CDTF">2023-11-26T17:31:00Z</dcterms:modified>
</cp:coreProperties>
</file>