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1C48" w14:textId="254E644F"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kern w:val="0"/>
          <w:lang w:val="en-US"/>
        </w:rPr>
      </w:pPr>
      <w:r w:rsidRPr="000E1EA0">
        <w:rPr>
          <w:rFonts w:ascii="Times New Roman" w:hAnsi="Times New Roman" w:cs="Times New Roman"/>
          <w:b/>
          <w:bCs/>
          <w:color w:val="151515"/>
          <w:kern w:val="0"/>
          <w:position w:val="6"/>
          <w:lang w:val="en-US"/>
        </w:rPr>
        <w:t>Education in Ancient Rome vs. Kenya’s Education System</w:t>
      </w:r>
    </w:p>
    <w:p w14:paraId="434BBC70" w14:textId="77777777"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color w:val="151515"/>
          <w:kern w:val="0"/>
          <w:position w:val="6"/>
          <w:lang w:val="en-US"/>
        </w:rPr>
        <w:t>The Roman education system was distinctly different for boys and girls, reflecting the societal values and gender roles of the time. Boys received an education that emphasized subjects such as politics, war, and oratory, preparing them for public life and leadership roles (Naka &amp; Marrou, 2025). In contrast, girls were primarily taught domestic values aimed at equipping them to manage households effectively (United Nations of Roma Victrix, 2025). This disparity in education highlights a fundamental difference in how societies historically approached gender and learning, setting a precedent for educational inequalities that can still be observed in various forms today.</w:t>
      </w:r>
    </w:p>
    <w:p w14:paraId="4B88FD10" w14:textId="24DB14BC"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b/>
          <w:bCs/>
          <w:color w:val="151515"/>
          <w:kern w:val="0"/>
          <w:position w:val="6"/>
          <w:lang w:val="en-US"/>
        </w:rPr>
        <w:t xml:space="preserve">Similarities and </w:t>
      </w:r>
      <w:r w:rsidRPr="000E1EA0">
        <w:rPr>
          <w:rFonts w:ascii="Times New Roman" w:hAnsi="Times New Roman" w:cs="Times New Roman"/>
          <w:b/>
          <w:bCs/>
          <w:color w:val="151515"/>
          <w:kern w:val="0"/>
          <w:position w:val="6"/>
          <w:lang w:val="en-US"/>
        </w:rPr>
        <w:t>differenc</w:t>
      </w:r>
      <w:r w:rsidRPr="000E1EA0">
        <w:rPr>
          <w:rFonts w:ascii="Times New Roman" w:hAnsi="Times New Roman" w:cs="Times New Roman"/>
          <w:b/>
          <w:bCs/>
          <w:color w:val="151515"/>
          <w:kern w:val="0"/>
          <w:position w:val="6"/>
          <w:lang w:val="en-US"/>
        </w:rPr>
        <w:t xml:space="preserve">es with Kenya’s </w:t>
      </w:r>
      <w:r w:rsidRPr="000E1EA0">
        <w:rPr>
          <w:rFonts w:ascii="Times New Roman" w:hAnsi="Times New Roman" w:cs="Times New Roman"/>
          <w:b/>
          <w:bCs/>
          <w:color w:val="151515"/>
          <w:kern w:val="0"/>
          <w:position w:val="6"/>
          <w:lang w:val="en-US"/>
        </w:rPr>
        <w:t>education system</w:t>
      </w:r>
    </w:p>
    <w:p w14:paraId="616129A0" w14:textId="065866B9"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color w:val="151515"/>
          <w:kern w:val="0"/>
          <w:position w:val="6"/>
          <w:lang w:val="en-US"/>
        </w:rPr>
        <w:t>In Kenya, significant reforms have been implemented through the new Competency-Based Curriculum (CBC), which began in 2017. This curriculum aims to shift from the previous 8-4-4 system to a structure that emphasizes competencies over rote memorization (</w:t>
      </w:r>
      <w:proofErr w:type="spellStart"/>
      <w:r w:rsidRPr="000E1EA0">
        <w:rPr>
          <w:rFonts w:ascii="Times New Roman" w:hAnsi="Times New Roman" w:cs="Times New Roman"/>
          <w:color w:val="151515"/>
          <w:kern w:val="0"/>
          <w:position w:val="6"/>
          <w:lang w:val="en-US"/>
        </w:rPr>
        <w:t>Olubayi</w:t>
      </w:r>
      <w:proofErr w:type="spellEnd"/>
      <w:r w:rsidRPr="000E1EA0">
        <w:rPr>
          <w:rFonts w:ascii="Times New Roman" w:hAnsi="Times New Roman" w:cs="Times New Roman"/>
          <w:color w:val="151515"/>
          <w:kern w:val="0"/>
          <w:position w:val="6"/>
          <w:lang w:val="en-US"/>
        </w:rPr>
        <w:t>, 2024). Unlike the gendered approach of ancient Rome, the CBC promotes inclusivity, allowing both boys and girls equal access to a diverse range of subjects, including STEM, social sciences, and the arts. However, despite these advancements, gender disparities still exist in some regions, reminding us that progress is not uniform across all communities.</w:t>
      </w:r>
    </w:p>
    <w:p w14:paraId="6786BEA8" w14:textId="5BCFF6ED"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color w:val="151515"/>
          <w:kern w:val="0"/>
          <w:position w:val="6"/>
          <w:lang w:val="en-US"/>
        </w:rPr>
        <w:t xml:space="preserve">In rural areas, for instance, cultural expectations can still influence girls’ education, </w:t>
      </w:r>
      <w:proofErr w:type="gramStart"/>
      <w:r w:rsidRPr="000E1EA0">
        <w:rPr>
          <w:rFonts w:ascii="Times New Roman" w:hAnsi="Times New Roman" w:cs="Times New Roman"/>
          <w:color w:val="151515"/>
          <w:kern w:val="0"/>
          <w:position w:val="6"/>
          <w:lang w:val="en-US"/>
        </w:rPr>
        <w:t>similar to</w:t>
      </w:r>
      <w:proofErr w:type="gramEnd"/>
      <w:r w:rsidRPr="000E1EA0">
        <w:rPr>
          <w:rFonts w:ascii="Times New Roman" w:hAnsi="Times New Roman" w:cs="Times New Roman"/>
          <w:color w:val="151515"/>
          <w:kern w:val="0"/>
          <w:position w:val="6"/>
          <w:lang w:val="en-US"/>
        </w:rPr>
        <w:t xml:space="preserve"> the limitations faced by women in ancient Rome (Naka &amp; Marrou, 2025). While the CBC aims to provide a more equitable education, the emphasis on performance in mathematics and science for placement in prestigious tracks can create pressure that disproportionately affects students from less privileged backgrounds (</w:t>
      </w:r>
      <w:proofErr w:type="spellStart"/>
      <w:r w:rsidRPr="000E1EA0">
        <w:rPr>
          <w:rFonts w:ascii="Times New Roman" w:hAnsi="Times New Roman" w:cs="Times New Roman"/>
          <w:color w:val="151515"/>
          <w:kern w:val="0"/>
          <w:position w:val="6"/>
          <w:lang w:val="en-US"/>
        </w:rPr>
        <w:t>Olubayi</w:t>
      </w:r>
      <w:proofErr w:type="spellEnd"/>
      <w:r w:rsidRPr="000E1EA0">
        <w:rPr>
          <w:rFonts w:ascii="Times New Roman" w:hAnsi="Times New Roman" w:cs="Times New Roman"/>
          <w:color w:val="151515"/>
          <w:kern w:val="0"/>
          <w:position w:val="6"/>
          <w:lang w:val="en-US"/>
        </w:rPr>
        <w:t xml:space="preserve">, 2024). These ongoing challenges illustrate the need for </w:t>
      </w:r>
      <w:r w:rsidRPr="000E1EA0">
        <w:rPr>
          <w:rFonts w:ascii="Times New Roman" w:hAnsi="Times New Roman" w:cs="Times New Roman"/>
          <w:color w:val="151515"/>
          <w:kern w:val="0"/>
          <w:position w:val="6"/>
          <w:lang w:val="en-US"/>
        </w:rPr>
        <w:lastRenderedPageBreak/>
        <w:t xml:space="preserve">continued reform </w:t>
      </w:r>
      <w:r w:rsidRPr="000E1EA0">
        <w:rPr>
          <w:rFonts w:ascii="Times New Roman" w:hAnsi="Times New Roman" w:cs="Times New Roman"/>
          <w:color w:val="151515"/>
          <w:kern w:val="0"/>
          <w:position w:val="6"/>
          <w:lang w:val="en-US"/>
        </w:rPr>
        <w:t xml:space="preserve">of Kenya’s education system </w:t>
      </w:r>
      <w:r w:rsidRPr="000E1EA0">
        <w:rPr>
          <w:rFonts w:ascii="Times New Roman" w:hAnsi="Times New Roman" w:cs="Times New Roman"/>
          <w:color w:val="151515"/>
          <w:kern w:val="0"/>
          <w:position w:val="6"/>
          <w:lang w:val="en-US"/>
        </w:rPr>
        <w:t>to ensure that education is accessible and equitable for all children.</w:t>
      </w:r>
    </w:p>
    <w:p w14:paraId="374D2393" w14:textId="144665E4"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b/>
          <w:bCs/>
          <w:color w:val="151515"/>
          <w:kern w:val="0"/>
          <w:position w:val="6"/>
          <w:lang w:val="en-US"/>
        </w:rPr>
        <w:t xml:space="preserve">Proposed </w:t>
      </w:r>
      <w:r w:rsidRPr="000E1EA0">
        <w:rPr>
          <w:rFonts w:ascii="Times New Roman" w:hAnsi="Times New Roman" w:cs="Times New Roman"/>
          <w:b/>
          <w:bCs/>
          <w:color w:val="151515"/>
          <w:kern w:val="0"/>
          <w:position w:val="6"/>
          <w:lang w:val="en-US"/>
        </w:rPr>
        <w:t xml:space="preserve">reforms for an equitable education system in </w:t>
      </w:r>
      <w:r w:rsidRPr="000E1EA0">
        <w:rPr>
          <w:rFonts w:ascii="Times New Roman" w:hAnsi="Times New Roman" w:cs="Times New Roman"/>
          <w:b/>
          <w:bCs/>
          <w:color w:val="151515"/>
          <w:kern w:val="0"/>
          <w:position w:val="6"/>
          <w:lang w:val="en-US"/>
        </w:rPr>
        <w:t>Kenya</w:t>
      </w:r>
    </w:p>
    <w:p w14:paraId="255A9180" w14:textId="4D544304"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color w:val="151515"/>
          <w:kern w:val="0"/>
          <w:position w:val="6"/>
          <w:lang w:val="en-US"/>
        </w:rPr>
        <w:t>If tasked with redesigning the education system in Kenya, significant reforms would be necessary to ensure both effectiveness and fairness in education for all genders. First, I would advocate for a curriculum that continues to promote critical thinking and creativity rather than rote memorization. This includes further developing the competencies established in the CBC, such as communication, collaboration, and critical thinking, to ensure students are well-prepared for the future</w:t>
      </w:r>
      <w:r w:rsidR="00C025CC" w:rsidRPr="000E1EA0">
        <w:rPr>
          <w:rFonts w:ascii="Times New Roman" w:hAnsi="Times New Roman" w:cs="Times New Roman"/>
          <w:color w:val="151515"/>
          <w:kern w:val="0"/>
          <w:position w:val="6"/>
          <w:lang w:val="en-US"/>
        </w:rPr>
        <w:t xml:space="preserve">. </w:t>
      </w:r>
      <w:r w:rsidRPr="000E1EA0">
        <w:rPr>
          <w:rFonts w:ascii="Times New Roman" w:hAnsi="Times New Roman" w:cs="Times New Roman"/>
          <w:color w:val="151515"/>
          <w:kern w:val="0"/>
          <w:position w:val="6"/>
          <w:lang w:val="en-US"/>
        </w:rPr>
        <w:t>By focusing on these skills, we can better equip students to navigate the complexities of modern society.</w:t>
      </w:r>
    </w:p>
    <w:p w14:paraId="1E8C9FD6" w14:textId="578FFD67" w:rsidR="0016577D" w:rsidRPr="000E1EA0" w:rsidRDefault="0016577D" w:rsidP="000E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E1EA0">
        <w:rPr>
          <w:rFonts w:ascii="Times New Roman" w:hAnsi="Times New Roman" w:cs="Times New Roman"/>
          <w:color w:val="151515"/>
          <w:kern w:val="0"/>
          <w:position w:val="6"/>
          <w:lang w:val="en-US"/>
        </w:rPr>
        <w:t>Moreover, I would implement policies to ensure equal representation of girls and boys in all academic disciplines, particularly in STEM fields. This could involve mentorship programs and outreach initiatives aimed at encouraging girls to pursue interests in these areas, thereby breaking down the traditional barriers that have historically limited their educational opportunities</w:t>
      </w:r>
      <w:r w:rsidR="00C025CC" w:rsidRPr="000E1EA0">
        <w:rPr>
          <w:rFonts w:ascii="Times New Roman" w:hAnsi="Times New Roman" w:cs="Times New Roman"/>
          <w:color w:val="151515"/>
          <w:kern w:val="0"/>
          <w:position w:val="6"/>
          <w:lang w:val="en-US"/>
        </w:rPr>
        <w:t xml:space="preserve">. </w:t>
      </w:r>
      <w:r w:rsidRPr="000E1EA0">
        <w:rPr>
          <w:rFonts w:ascii="Times New Roman" w:hAnsi="Times New Roman" w:cs="Times New Roman"/>
          <w:color w:val="151515"/>
          <w:kern w:val="0"/>
          <w:position w:val="6"/>
          <w:lang w:val="en-US"/>
        </w:rPr>
        <w:t>These initiatives would not only foster gender equality but also enhance the overall talent pool in critical areas of study.</w:t>
      </w:r>
    </w:p>
    <w:p w14:paraId="33EC794B" w14:textId="13DCA166" w:rsidR="0016577D" w:rsidRDefault="0016577D" w:rsidP="000E1EA0">
      <w:pPr>
        <w:spacing w:after="0" w:line="480" w:lineRule="auto"/>
        <w:rPr>
          <w:rFonts w:ascii="Times New Roman" w:hAnsi="Times New Roman" w:cs="Times New Roman"/>
          <w:color w:val="151515"/>
          <w:kern w:val="0"/>
          <w:position w:val="6"/>
          <w:lang w:val="en-US"/>
        </w:rPr>
      </w:pPr>
      <w:r w:rsidRPr="000E1EA0">
        <w:rPr>
          <w:rFonts w:ascii="Times New Roman" w:hAnsi="Times New Roman" w:cs="Times New Roman"/>
          <w:color w:val="151515"/>
          <w:kern w:val="0"/>
          <w:position w:val="6"/>
          <w:lang w:val="en-US"/>
        </w:rPr>
        <w:t>Finally, I would promote an inclusive educational environment that values diversity and fosters respect for all perspectives. Training teachers to recognize and combat gender biases in the classroom would be essential to create a supportive atmosphere for all students. Through these reforms, the education system in Kenya could move towards a more equitable future, ensuring that all children, regardless of gender, receive a well-rounded education that prepares them for a diverse and dynamic world.</w:t>
      </w:r>
    </w:p>
    <w:p w14:paraId="72E36F61" w14:textId="77777777" w:rsidR="00BE2A14" w:rsidRPr="000E1EA0" w:rsidRDefault="00BE2A14" w:rsidP="000E1EA0">
      <w:pPr>
        <w:spacing w:after="0" w:line="480" w:lineRule="auto"/>
        <w:rPr>
          <w:rFonts w:ascii="Times New Roman" w:hAnsi="Times New Roman" w:cs="Times New Roman"/>
          <w:color w:val="151515"/>
          <w:kern w:val="0"/>
          <w:position w:val="6"/>
          <w:lang w:val="en-US"/>
        </w:rPr>
      </w:pPr>
    </w:p>
    <w:p w14:paraId="0D871C4F" w14:textId="77777777" w:rsidR="000E1EA0" w:rsidRPr="000E1EA0" w:rsidRDefault="000E1EA0" w:rsidP="000E1EA0">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0E1EA0">
        <w:rPr>
          <w:rFonts w:ascii="Times New Roman" w:eastAsia="Times New Roman" w:hAnsi="Times New Roman" w:cs="Times New Roman"/>
          <w:b/>
          <w:bCs/>
          <w:color w:val="000000"/>
          <w:kern w:val="0"/>
          <w14:ligatures w14:val="none"/>
        </w:rPr>
        <w:lastRenderedPageBreak/>
        <w:t>References</w:t>
      </w:r>
    </w:p>
    <w:p w14:paraId="1355CB75" w14:textId="77777777" w:rsidR="000E1EA0" w:rsidRPr="000E1EA0" w:rsidRDefault="000E1EA0" w:rsidP="000E1EA0">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0E1EA0">
        <w:rPr>
          <w:rFonts w:ascii="Times New Roman" w:eastAsia="Times New Roman" w:hAnsi="Times New Roman" w:cs="Times New Roman"/>
          <w:color w:val="000000"/>
          <w:kern w:val="0"/>
          <w14:ligatures w14:val="none"/>
        </w:rPr>
        <w:t>Naka A., &amp; Marrou H. (2025, July 15). </w:t>
      </w:r>
      <w:r w:rsidRPr="000E1EA0">
        <w:rPr>
          <w:rFonts w:ascii="Times New Roman" w:eastAsia="Times New Roman" w:hAnsi="Times New Roman" w:cs="Times New Roman"/>
          <w:i/>
          <w:iCs/>
          <w:color w:val="000000"/>
          <w:kern w:val="0"/>
          <w14:ligatures w14:val="none"/>
        </w:rPr>
        <w:t>Roman adoption of Hellenistic education</w:t>
      </w:r>
      <w:r w:rsidRPr="000E1EA0">
        <w:rPr>
          <w:rFonts w:ascii="Times New Roman" w:eastAsia="Times New Roman" w:hAnsi="Times New Roman" w:cs="Times New Roman"/>
          <w:color w:val="000000"/>
          <w:kern w:val="0"/>
          <w14:ligatures w14:val="none"/>
        </w:rPr>
        <w:t>. Encyclopedia Britannica. </w:t>
      </w:r>
      <w:hyperlink r:id="rId5" w:history="1">
        <w:r w:rsidRPr="000E1EA0">
          <w:rPr>
            <w:rFonts w:ascii="Times New Roman" w:eastAsia="Times New Roman" w:hAnsi="Times New Roman" w:cs="Times New Roman"/>
            <w:color w:val="000000"/>
            <w:kern w:val="0"/>
            <w:u w:val="single"/>
            <w14:ligatures w14:val="none"/>
          </w:rPr>
          <w:t>https://www.britannica.com/topic/education/Roman-adoption-of-Hellenistic-education</w:t>
        </w:r>
      </w:hyperlink>
    </w:p>
    <w:p w14:paraId="5D6B094A" w14:textId="77777777" w:rsidR="000E1EA0" w:rsidRPr="000E1EA0" w:rsidRDefault="000E1EA0" w:rsidP="000E1EA0">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0E1EA0">
        <w:rPr>
          <w:rFonts w:ascii="Times New Roman" w:eastAsia="Times New Roman" w:hAnsi="Times New Roman" w:cs="Times New Roman"/>
          <w:color w:val="000000"/>
          <w:kern w:val="0"/>
          <w14:ligatures w14:val="none"/>
        </w:rPr>
        <w:t>Olubay O. (2024). </w:t>
      </w:r>
      <w:r w:rsidRPr="000E1EA0">
        <w:rPr>
          <w:rFonts w:ascii="Times New Roman" w:eastAsia="Times New Roman" w:hAnsi="Times New Roman" w:cs="Times New Roman"/>
          <w:i/>
          <w:iCs/>
          <w:color w:val="000000"/>
          <w:kern w:val="0"/>
          <w14:ligatures w14:val="none"/>
        </w:rPr>
        <w:t>The new competency based curriculum (CBC) in Kenya</w:t>
      </w:r>
      <w:r w:rsidRPr="000E1EA0">
        <w:rPr>
          <w:rFonts w:ascii="Times New Roman" w:eastAsia="Times New Roman" w:hAnsi="Times New Roman" w:cs="Times New Roman"/>
          <w:color w:val="000000"/>
          <w:kern w:val="0"/>
          <w14:ligatures w14:val="none"/>
        </w:rPr>
        <w:t>. Kiwimbi International. </w:t>
      </w:r>
      <w:hyperlink r:id="rId6" w:history="1">
        <w:r w:rsidRPr="000E1EA0">
          <w:rPr>
            <w:rFonts w:ascii="Times New Roman" w:eastAsia="Times New Roman" w:hAnsi="Times New Roman" w:cs="Times New Roman"/>
            <w:color w:val="000000"/>
            <w:kern w:val="0"/>
            <w:u w:val="single"/>
            <w14:ligatures w14:val="none"/>
          </w:rPr>
          <w:t>https://kiwimbi.org/blog/the-new-competency-based-curriculum-cbc-in-kenya/</w:t>
        </w:r>
      </w:hyperlink>
    </w:p>
    <w:p w14:paraId="6E504827" w14:textId="77777777" w:rsidR="000E1EA0" w:rsidRPr="000E1EA0" w:rsidRDefault="000E1EA0" w:rsidP="000E1EA0">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0E1EA0">
        <w:rPr>
          <w:rFonts w:ascii="Times New Roman" w:eastAsia="Times New Roman" w:hAnsi="Times New Roman" w:cs="Times New Roman"/>
          <w:color w:val="000000"/>
          <w:kern w:val="0"/>
          <w14:ligatures w14:val="none"/>
        </w:rPr>
        <w:t>United Nations of Roma Victrix. (2025). </w:t>
      </w:r>
      <w:r w:rsidRPr="000E1EA0">
        <w:rPr>
          <w:rFonts w:ascii="Times New Roman" w:eastAsia="Times New Roman" w:hAnsi="Times New Roman" w:cs="Times New Roman"/>
          <w:i/>
          <w:iCs/>
          <w:color w:val="000000"/>
          <w:kern w:val="0"/>
          <w14:ligatures w14:val="none"/>
        </w:rPr>
        <w:t>Education in Ancient Rome</w:t>
      </w:r>
      <w:r w:rsidRPr="000E1EA0">
        <w:rPr>
          <w:rFonts w:ascii="Times New Roman" w:eastAsia="Times New Roman" w:hAnsi="Times New Roman" w:cs="Times New Roman"/>
          <w:color w:val="000000"/>
          <w:kern w:val="0"/>
          <w14:ligatures w14:val="none"/>
        </w:rPr>
        <w:t>. Roman History Site and Discussion Forum | UNRV.com. </w:t>
      </w:r>
      <w:hyperlink r:id="rId7" w:history="1">
        <w:r w:rsidRPr="000E1EA0">
          <w:rPr>
            <w:rFonts w:ascii="Times New Roman" w:eastAsia="Times New Roman" w:hAnsi="Times New Roman" w:cs="Times New Roman"/>
            <w:color w:val="000000"/>
            <w:kern w:val="0"/>
            <w:u w:val="single"/>
            <w14:ligatures w14:val="none"/>
          </w:rPr>
          <w:t>https://www.unrv.com/culture/education.php</w:t>
        </w:r>
      </w:hyperlink>
    </w:p>
    <w:p w14:paraId="31CFC88A" w14:textId="77777777" w:rsidR="000E1EA0" w:rsidRPr="000E1EA0" w:rsidRDefault="000E1EA0" w:rsidP="000E1EA0">
      <w:pPr>
        <w:spacing w:after="0" w:line="480" w:lineRule="auto"/>
        <w:rPr>
          <w:rFonts w:ascii="Times New Roman" w:hAnsi="Times New Roman" w:cs="Times New Roman"/>
          <w:color w:val="000000" w:themeColor="text1"/>
          <w:lang w:val="en-US"/>
        </w:rPr>
      </w:pPr>
    </w:p>
    <w:sectPr w:rsidR="000E1EA0" w:rsidRPr="000E1E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75C8"/>
    <w:multiLevelType w:val="multilevel"/>
    <w:tmpl w:val="79342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35A88"/>
    <w:multiLevelType w:val="multilevel"/>
    <w:tmpl w:val="DBD4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50CE2"/>
    <w:multiLevelType w:val="multilevel"/>
    <w:tmpl w:val="B2A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66877">
    <w:abstractNumId w:val="1"/>
  </w:num>
  <w:num w:numId="2" w16cid:durableId="514224059">
    <w:abstractNumId w:val="2"/>
  </w:num>
  <w:num w:numId="3" w16cid:durableId="90449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B4"/>
    <w:rsid w:val="000E1EA0"/>
    <w:rsid w:val="0016577D"/>
    <w:rsid w:val="00282F8F"/>
    <w:rsid w:val="00475C8A"/>
    <w:rsid w:val="009768B4"/>
    <w:rsid w:val="00BE2A14"/>
    <w:rsid w:val="00C025CC"/>
    <w:rsid w:val="00EB6F3B"/>
    <w:rsid w:val="00F87F3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45703528"/>
  <w15:chartTrackingRefBased/>
  <w15:docId w15:val="{A7191F56-AC8A-4D4A-A88A-6972FE4A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8B4"/>
    <w:rPr>
      <w:rFonts w:eastAsiaTheme="majorEastAsia" w:cstheme="majorBidi"/>
      <w:color w:val="272727" w:themeColor="text1" w:themeTint="D8"/>
    </w:rPr>
  </w:style>
  <w:style w:type="paragraph" w:styleId="Title">
    <w:name w:val="Title"/>
    <w:basedOn w:val="Normal"/>
    <w:next w:val="Normal"/>
    <w:link w:val="TitleChar"/>
    <w:uiPriority w:val="10"/>
    <w:qFormat/>
    <w:rsid w:val="00976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8B4"/>
    <w:pPr>
      <w:spacing w:before="160"/>
      <w:jc w:val="center"/>
    </w:pPr>
    <w:rPr>
      <w:i/>
      <w:iCs/>
      <w:color w:val="404040" w:themeColor="text1" w:themeTint="BF"/>
    </w:rPr>
  </w:style>
  <w:style w:type="character" w:customStyle="1" w:styleId="QuoteChar">
    <w:name w:val="Quote Char"/>
    <w:basedOn w:val="DefaultParagraphFont"/>
    <w:link w:val="Quote"/>
    <w:uiPriority w:val="29"/>
    <w:rsid w:val="009768B4"/>
    <w:rPr>
      <w:i/>
      <w:iCs/>
      <w:color w:val="404040" w:themeColor="text1" w:themeTint="BF"/>
    </w:rPr>
  </w:style>
  <w:style w:type="paragraph" w:styleId="ListParagraph">
    <w:name w:val="List Paragraph"/>
    <w:basedOn w:val="Normal"/>
    <w:uiPriority w:val="34"/>
    <w:qFormat/>
    <w:rsid w:val="009768B4"/>
    <w:pPr>
      <w:ind w:left="720"/>
      <w:contextualSpacing/>
    </w:pPr>
  </w:style>
  <w:style w:type="character" w:styleId="IntenseEmphasis">
    <w:name w:val="Intense Emphasis"/>
    <w:basedOn w:val="DefaultParagraphFont"/>
    <w:uiPriority w:val="21"/>
    <w:qFormat/>
    <w:rsid w:val="009768B4"/>
    <w:rPr>
      <w:i/>
      <w:iCs/>
      <w:color w:val="0F4761" w:themeColor="accent1" w:themeShade="BF"/>
    </w:rPr>
  </w:style>
  <w:style w:type="paragraph" w:styleId="IntenseQuote">
    <w:name w:val="Intense Quote"/>
    <w:basedOn w:val="Normal"/>
    <w:next w:val="Normal"/>
    <w:link w:val="IntenseQuoteChar"/>
    <w:uiPriority w:val="30"/>
    <w:qFormat/>
    <w:rsid w:val="00976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8B4"/>
    <w:rPr>
      <w:i/>
      <w:iCs/>
      <w:color w:val="0F4761" w:themeColor="accent1" w:themeShade="BF"/>
    </w:rPr>
  </w:style>
  <w:style w:type="character" w:styleId="IntenseReference">
    <w:name w:val="Intense Reference"/>
    <w:basedOn w:val="DefaultParagraphFont"/>
    <w:uiPriority w:val="32"/>
    <w:qFormat/>
    <w:rsid w:val="009768B4"/>
    <w:rPr>
      <w:b/>
      <w:bCs/>
      <w:smallCaps/>
      <w:color w:val="0F4761" w:themeColor="accent1" w:themeShade="BF"/>
      <w:spacing w:val="5"/>
    </w:rPr>
  </w:style>
  <w:style w:type="paragraph" w:styleId="NormalWeb">
    <w:name w:val="Normal (Web)"/>
    <w:basedOn w:val="Normal"/>
    <w:uiPriority w:val="99"/>
    <w:semiHidden/>
    <w:unhideWhenUsed/>
    <w:rsid w:val="009768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ubsection-title">
    <w:name w:val="subsection-title"/>
    <w:basedOn w:val="DefaultParagraphFont"/>
    <w:rsid w:val="009768B4"/>
  </w:style>
  <w:style w:type="character" w:customStyle="1" w:styleId="apple-converted-space">
    <w:name w:val="apple-converted-space"/>
    <w:basedOn w:val="DefaultParagraphFont"/>
    <w:rsid w:val="009768B4"/>
  </w:style>
  <w:style w:type="character" w:styleId="Strong">
    <w:name w:val="Strong"/>
    <w:basedOn w:val="DefaultParagraphFont"/>
    <w:uiPriority w:val="22"/>
    <w:qFormat/>
    <w:rsid w:val="009768B4"/>
    <w:rPr>
      <w:b/>
      <w:bCs/>
    </w:rPr>
  </w:style>
  <w:style w:type="character" w:styleId="Emphasis">
    <w:name w:val="Emphasis"/>
    <w:basedOn w:val="DefaultParagraphFont"/>
    <w:uiPriority w:val="20"/>
    <w:qFormat/>
    <w:rsid w:val="009768B4"/>
    <w:rPr>
      <w:i/>
      <w:iCs/>
    </w:rPr>
  </w:style>
  <w:style w:type="character" w:styleId="Hyperlink">
    <w:name w:val="Hyperlink"/>
    <w:basedOn w:val="DefaultParagraphFont"/>
    <w:uiPriority w:val="99"/>
    <w:semiHidden/>
    <w:unhideWhenUsed/>
    <w:rsid w:val="000E1E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rv.com/culture/education.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wimbi.org/blog/the-new-competency-based-curriculum-cbc-in-kenya/" TargetMode="External"/><Relationship Id="rId5" Type="http://schemas.openxmlformats.org/officeDocument/2006/relationships/hyperlink" Target="https://www.britannica.com/topic/education/Roman-adoption-of-Hellenistic-educ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2025-07-30T13:58:00Z</dcterms:created>
  <dcterms:modified xsi:type="dcterms:W3CDTF">2025-07-30T16:07:00Z</dcterms:modified>
</cp:coreProperties>
</file>