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9588" w14:textId="31C68FEA" w:rsidR="00A77CA3" w:rsidRPr="00F11F3A" w:rsidRDefault="00A77CA3" w:rsidP="00F11F3A">
      <w:pPr>
        <w:pStyle w:val="Title"/>
        <w:spacing w:after="0" w:line="480" w:lineRule="auto"/>
        <w:jc w:val="center"/>
        <w:rPr>
          <w:rFonts w:ascii="Times New Roman" w:eastAsia="Times New Roman" w:hAnsi="Times New Roman" w:cs="Times New Roman"/>
          <w:b/>
          <w:bCs/>
          <w:color w:val="000000" w:themeColor="text1"/>
          <w:sz w:val="24"/>
          <w:szCs w:val="24"/>
          <w:lang w:eastAsia="en-GB"/>
        </w:rPr>
      </w:pPr>
      <w:r w:rsidRPr="00F11F3A">
        <w:rPr>
          <w:rFonts w:ascii="Times New Roman" w:eastAsia="Times New Roman" w:hAnsi="Times New Roman" w:cs="Times New Roman"/>
          <w:b/>
          <w:bCs/>
          <w:color w:val="000000" w:themeColor="text1"/>
          <w:sz w:val="24"/>
          <w:szCs w:val="24"/>
          <w:lang w:eastAsia="en-GB"/>
        </w:rPr>
        <w:t>Globalization Trends and Macroeconomic Policy in Kenya</w:t>
      </w:r>
    </w:p>
    <w:p w14:paraId="4632E258" w14:textId="77777777" w:rsidR="00A77CA3" w:rsidRPr="00F11F3A" w:rsidRDefault="00A77CA3" w:rsidP="00F11F3A">
      <w:pPr>
        <w:pStyle w:val="Heading1"/>
        <w:spacing w:before="0" w:after="0" w:line="480" w:lineRule="auto"/>
        <w:rPr>
          <w:rFonts w:ascii="Times New Roman" w:eastAsia="Times New Roman" w:hAnsi="Times New Roman" w:cs="Times New Roman"/>
          <w:b/>
          <w:bCs/>
          <w:color w:val="000000" w:themeColor="text1"/>
          <w:sz w:val="24"/>
          <w:szCs w:val="24"/>
          <w:lang w:eastAsia="en-GB"/>
        </w:rPr>
      </w:pPr>
      <w:r w:rsidRPr="00F11F3A">
        <w:rPr>
          <w:rFonts w:ascii="Times New Roman" w:eastAsia="Times New Roman" w:hAnsi="Times New Roman" w:cs="Times New Roman"/>
          <w:b/>
          <w:bCs/>
          <w:color w:val="000000" w:themeColor="text1"/>
          <w:sz w:val="24"/>
          <w:szCs w:val="24"/>
          <w:lang w:eastAsia="en-GB"/>
        </w:rPr>
        <w:t>Introduction</w:t>
      </w:r>
    </w:p>
    <w:p w14:paraId="4E4EA91D" w14:textId="695FB583" w:rsidR="00A77CA3" w:rsidRPr="00F11F3A" w:rsidRDefault="00A77CA3" w:rsidP="00F11F3A">
      <w:pPr>
        <w:spacing w:after="0" w:line="480" w:lineRule="auto"/>
        <w:rPr>
          <w:rFonts w:ascii="Times New Roman" w:hAnsi="Times New Roman" w:cs="Times New Roman"/>
          <w:color w:val="000000" w:themeColor="text1"/>
        </w:rPr>
      </w:pPr>
      <w:r w:rsidRPr="00F11F3A">
        <w:rPr>
          <w:rFonts w:ascii="Times New Roman" w:hAnsi="Times New Roman" w:cs="Times New Roman"/>
          <w:color w:val="000000" w:themeColor="text1"/>
        </w:rPr>
        <w:t>Globalization continues to shape national economies, influencing trade, investment, and policy frameworks in profound ways. The COVID-19 pandemic revealed the extent of global interconnectedness, resulting in supply chain interruptions, shifting aggregate demand and supply, and requiring agile monetary and fiscal policy responses in many countries. Kenya, among other nations, directly experienced the ripple effects of these globalization trends, which altered economic performance and influenced decisions at multiple policy levels</w:t>
      </w:r>
    </w:p>
    <w:p w14:paraId="53118C66" w14:textId="48A821B7" w:rsidR="00A77CA3" w:rsidRPr="00F11F3A" w:rsidRDefault="00A77CA3" w:rsidP="00F11F3A">
      <w:pPr>
        <w:pStyle w:val="Heading2"/>
        <w:spacing w:before="0" w:after="0" w:line="480" w:lineRule="auto"/>
        <w:rPr>
          <w:rFonts w:ascii="Times New Roman" w:hAnsi="Times New Roman" w:cs="Times New Roman"/>
          <w:b/>
          <w:bCs/>
          <w:color w:val="000000" w:themeColor="text1"/>
          <w:sz w:val="24"/>
          <w:szCs w:val="24"/>
        </w:rPr>
      </w:pPr>
      <w:r w:rsidRPr="00F11F3A">
        <w:rPr>
          <w:rFonts w:ascii="Times New Roman" w:hAnsi="Times New Roman" w:cs="Times New Roman"/>
          <w:b/>
          <w:bCs/>
          <w:color w:val="000000" w:themeColor="text1"/>
          <w:sz w:val="24"/>
          <w:szCs w:val="24"/>
        </w:rPr>
        <w:t>Key globalization trends in Kenya</w:t>
      </w:r>
    </w:p>
    <w:p w14:paraId="36034894" w14:textId="76922B1B" w:rsidR="00A77CA3" w:rsidRPr="00F11F3A" w:rsidRDefault="00A77CA3" w:rsidP="00F11F3A">
      <w:pPr>
        <w:spacing w:after="0" w:line="480" w:lineRule="auto"/>
        <w:rPr>
          <w:rFonts w:ascii="Times New Roman" w:hAnsi="Times New Roman" w:cs="Times New Roman"/>
          <w:color w:val="000000" w:themeColor="text1"/>
        </w:rPr>
      </w:pPr>
      <w:r w:rsidRPr="00F11F3A">
        <w:rPr>
          <w:rFonts w:ascii="Times New Roman" w:hAnsi="Times New Roman" w:cs="Times New Roman"/>
          <w:color w:val="000000" w:themeColor="text1"/>
        </w:rPr>
        <w:t xml:space="preserve">Kenya has experienced several notable globalization trends, particularly during the COVID-19 pandemic. International supply chains were disrupted, global capital markets became more volatile, and there was a significant shift toward digital transformation in business and governance. Cross-border lockdowns and travel restrictions slowed the movement of goods, services, and labor, with Kenyan exports and imports, especially in agriculture and manufacturing, facing serious challenges </w:t>
      </w:r>
      <w:r w:rsidRPr="00F11F3A">
        <w:rPr>
          <w:rFonts w:ascii="Times New Roman" w:hAnsi="Times New Roman" w:cs="Times New Roman"/>
          <w:color w:val="000000" w:themeColor="text1"/>
        </w:rPr>
        <w:t>(Kimundi, 2022)</w:t>
      </w:r>
      <w:r w:rsidRPr="00F11F3A">
        <w:rPr>
          <w:rFonts w:ascii="Times New Roman" w:hAnsi="Times New Roman" w:cs="Times New Roman"/>
          <w:color w:val="000000" w:themeColor="text1"/>
        </w:rPr>
        <w:t>. Micro, small, and medium enterprises had to pause operations in response to falling demand and logistical barriers, demonstrating how global events can directly shape domestic outcomes.</w:t>
      </w:r>
    </w:p>
    <w:p w14:paraId="6B3FA126" w14:textId="4040BE28" w:rsidR="00A77CA3" w:rsidRPr="00F11F3A" w:rsidRDefault="00A77CA3" w:rsidP="00F11F3A">
      <w:pPr>
        <w:pStyle w:val="Heading2"/>
        <w:spacing w:before="0" w:after="0" w:line="480" w:lineRule="auto"/>
        <w:rPr>
          <w:rFonts w:ascii="Times New Roman" w:hAnsi="Times New Roman" w:cs="Times New Roman"/>
          <w:b/>
          <w:bCs/>
          <w:color w:val="000000" w:themeColor="text1"/>
          <w:sz w:val="24"/>
          <w:szCs w:val="24"/>
        </w:rPr>
      </w:pPr>
      <w:r w:rsidRPr="00F11F3A">
        <w:rPr>
          <w:rFonts w:ascii="Times New Roman" w:hAnsi="Times New Roman" w:cs="Times New Roman"/>
          <w:b/>
          <w:bCs/>
          <w:color w:val="000000" w:themeColor="text1"/>
          <w:sz w:val="24"/>
          <w:szCs w:val="24"/>
        </w:rPr>
        <w:t>Effects on economic growth and market integration</w:t>
      </w:r>
    </w:p>
    <w:p w14:paraId="45DF7547" w14:textId="696763CF" w:rsidR="00A77CA3" w:rsidRPr="00F11F3A" w:rsidRDefault="00A77CA3" w:rsidP="00F11F3A">
      <w:pPr>
        <w:spacing w:after="0" w:line="480" w:lineRule="auto"/>
        <w:rPr>
          <w:rFonts w:ascii="Times New Roman" w:hAnsi="Times New Roman" w:cs="Times New Roman"/>
          <w:color w:val="000000" w:themeColor="text1"/>
        </w:rPr>
      </w:pPr>
      <w:r w:rsidRPr="00F11F3A">
        <w:rPr>
          <w:rFonts w:ascii="Times New Roman" w:hAnsi="Times New Roman" w:cs="Times New Roman"/>
          <w:color w:val="000000" w:themeColor="text1"/>
        </w:rPr>
        <w:t xml:space="preserve">Supply chain interruptions and increased market volatility, driven by globalization, contributed to slower economic growth and posed challenges for market integration in Kenya. The Kenyan government introduced several measures to counteract these trends, including the exemption of low-income earners from income tax, a reduction of income tax rates from thirty percent to twenty-five percent, a lowering of value-added tax from sixteen percent to fourteen percent, and a temporary suspension of credit bureau listings for overdue loans </w:t>
      </w:r>
      <w:r w:rsidRPr="00F11F3A">
        <w:rPr>
          <w:rFonts w:ascii="Times New Roman" w:hAnsi="Times New Roman" w:cs="Times New Roman"/>
          <w:color w:val="000000" w:themeColor="text1"/>
        </w:rPr>
        <w:t>(Kimundi, 2022)</w:t>
      </w:r>
      <w:r w:rsidRPr="00F11F3A">
        <w:rPr>
          <w:rFonts w:ascii="Times New Roman" w:hAnsi="Times New Roman" w:cs="Times New Roman"/>
          <w:color w:val="000000" w:themeColor="text1"/>
        </w:rPr>
        <w:t xml:space="preserve">. Despite these actions, tax revenue decreased, and government </w:t>
      </w:r>
      <w:r w:rsidRPr="00F11F3A">
        <w:rPr>
          <w:rFonts w:ascii="Times New Roman" w:hAnsi="Times New Roman" w:cs="Times New Roman"/>
          <w:color w:val="000000" w:themeColor="text1"/>
        </w:rPr>
        <w:lastRenderedPageBreak/>
        <w:t xml:space="preserve">spending increased by six point two percent at the close of 2020. These initiatives aimed to boost disposable income and stimulate demand, but the budget deficit widened, and more domestic borrowing became necessary. Private sector credit growth rebounded to eight point two percent in 2020, attributed largely to the repeal of interest rate caps and easier monetary policy </w:t>
      </w:r>
      <w:r w:rsidRPr="00F11F3A">
        <w:rPr>
          <w:rFonts w:ascii="Times New Roman" w:hAnsi="Times New Roman" w:cs="Times New Roman"/>
          <w:color w:val="000000" w:themeColor="text1"/>
        </w:rPr>
        <w:t>(Kimundi, 2022)</w:t>
      </w:r>
      <w:r w:rsidRPr="00F11F3A">
        <w:rPr>
          <w:rFonts w:ascii="Times New Roman" w:hAnsi="Times New Roman" w:cs="Times New Roman"/>
          <w:color w:val="000000" w:themeColor="text1"/>
        </w:rPr>
        <w:t>. Although capital adequacy ratios in the banking sector stayed stable, they were lower than before, and non-performing loan ratios increased.</w:t>
      </w:r>
    </w:p>
    <w:p w14:paraId="72693101" w14:textId="66E9E94D" w:rsidR="00A77CA3" w:rsidRPr="00F11F3A" w:rsidRDefault="00A77CA3" w:rsidP="00F11F3A">
      <w:pPr>
        <w:pStyle w:val="Heading2"/>
        <w:spacing w:before="0" w:after="0" w:line="480" w:lineRule="auto"/>
        <w:rPr>
          <w:rFonts w:ascii="Times New Roman" w:hAnsi="Times New Roman" w:cs="Times New Roman"/>
          <w:b/>
          <w:bCs/>
          <w:color w:val="000000" w:themeColor="text1"/>
          <w:sz w:val="24"/>
          <w:szCs w:val="24"/>
        </w:rPr>
      </w:pPr>
      <w:r w:rsidRPr="00F11F3A">
        <w:rPr>
          <w:rFonts w:ascii="Times New Roman" w:hAnsi="Times New Roman" w:cs="Times New Roman"/>
          <w:b/>
          <w:bCs/>
          <w:color w:val="000000" w:themeColor="text1"/>
          <w:sz w:val="24"/>
          <w:szCs w:val="24"/>
        </w:rPr>
        <w:t>AD/AS model and macroeconomic policy decisions</w:t>
      </w:r>
    </w:p>
    <w:p w14:paraId="028AABDE" w14:textId="3DC34743" w:rsidR="00A77CA3" w:rsidRPr="00F11F3A" w:rsidRDefault="00A77CA3" w:rsidP="00F11F3A">
      <w:pPr>
        <w:spacing w:after="0" w:line="480" w:lineRule="auto"/>
        <w:rPr>
          <w:rFonts w:ascii="Times New Roman" w:hAnsi="Times New Roman" w:cs="Times New Roman"/>
          <w:color w:val="000000" w:themeColor="text1"/>
        </w:rPr>
      </w:pPr>
      <w:r w:rsidRPr="00F11F3A">
        <w:rPr>
          <w:rFonts w:ascii="Times New Roman" w:hAnsi="Times New Roman" w:cs="Times New Roman"/>
          <w:color w:val="000000" w:themeColor="text1"/>
        </w:rPr>
        <w:t>The aggregate demand and aggregate supply model provides a robust framework to analyze the effects of globalization trends and policy decisions. Kenya’s pandemic experience saw both supply constraints and falling demand, which shifted the curves for aggregate demand and aggregate supply leftward. The Central Bank of Kenya responded by lowering the policy rate, reducing the Central Bank Rate from eight point two five percent in March 2020 to seven percent by April 2020</w:t>
      </w:r>
      <w:r w:rsidR="00F11F3A" w:rsidRPr="00F11F3A">
        <w:rPr>
          <w:rFonts w:ascii="Times New Roman" w:hAnsi="Times New Roman" w:cs="Times New Roman"/>
          <w:color w:val="000000" w:themeColor="text1"/>
        </w:rPr>
        <w:t xml:space="preserve"> </w:t>
      </w:r>
      <w:r w:rsidR="00F11F3A" w:rsidRPr="00F11F3A">
        <w:rPr>
          <w:rFonts w:ascii="Times New Roman" w:hAnsi="Times New Roman" w:cs="Times New Roman"/>
          <w:color w:val="000000" w:themeColor="text1"/>
        </w:rPr>
        <w:t>(Kimundi, 2022).</w:t>
      </w:r>
      <w:r w:rsidRPr="00F11F3A">
        <w:rPr>
          <w:rFonts w:ascii="Times New Roman" w:hAnsi="Times New Roman" w:cs="Times New Roman"/>
          <w:color w:val="000000" w:themeColor="text1"/>
        </w:rPr>
        <w:t xml:space="preserve"> The Cash Reserve Requirement Ratio was also reduced from five point two five percent to four point two five percent, making an additional thirty-five point two billion Kenyan shillings available to banks to support distressed borrowers. Short-term lending rates declined, with the interbank rate averaging two point nine two percent in the six months to October 2020, compared to four point seven six percent in the prior period</w:t>
      </w:r>
      <w:r w:rsidR="00F11F3A" w:rsidRPr="00F11F3A">
        <w:rPr>
          <w:rFonts w:ascii="Times New Roman" w:hAnsi="Times New Roman" w:cs="Times New Roman"/>
          <w:color w:val="000000" w:themeColor="text1"/>
        </w:rPr>
        <w:t xml:space="preserve"> </w:t>
      </w:r>
      <w:r w:rsidR="00F11F3A" w:rsidRPr="00F11F3A">
        <w:rPr>
          <w:rFonts w:ascii="Times New Roman" w:hAnsi="Times New Roman" w:cs="Times New Roman"/>
          <w:color w:val="000000" w:themeColor="text1"/>
        </w:rPr>
        <w:t>(Kimundi, 2022)</w:t>
      </w:r>
      <w:r w:rsidRPr="00F11F3A">
        <w:rPr>
          <w:rFonts w:ascii="Times New Roman" w:hAnsi="Times New Roman" w:cs="Times New Roman"/>
          <w:color w:val="000000" w:themeColor="text1"/>
        </w:rPr>
        <w:t>. Fiscal policy worked in tandem through targeted tax relief measures that bolstered households and businesses</w:t>
      </w:r>
      <w:r w:rsidR="00F11F3A" w:rsidRPr="00F11F3A">
        <w:rPr>
          <w:rFonts w:ascii="Times New Roman" w:hAnsi="Times New Roman" w:cs="Times New Roman"/>
          <w:color w:val="000000" w:themeColor="text1"/>
        </w:rPr>
        <w:t>.</w:t>
      </w:r>
    </w:p>
    <w:p w14:paraId="4290C1D3" w14:textId="7DB194B0" w:rsidR="00A77CA3" w:rsidRPr="00F11F3A" w:rsidRDefault="00A77CA3" w:rsidP="00F11F3A">
      <w:pPr>
        <w:spacing w:after="0" w:line="480" w:lineRule="auto"/>
        <w:rPr>
          <w:rFonts w:ascii="Times New Roman" w:hAnsi="Times New Roman" w:cs="Times New Roman"/>
          <w:color w:val="000000" w:themeColor="text1"/>
        </w:rPr>
      </w:pPr>
      <w:r w:rsidRPr="00F11F3A">
        <w:rPr>
          <w:rFonts w:ascii="Times New Roman" w:hAnsi="Times New Roman" w:cs="Times New Roman"/>
          <w:color w:val="000000" w:themeColor="text1"/>
        </w:rPr>
        <w:t>Despite these interventions, the percentage of non-performing loans rose, moving from twelve percent in 2019 to thirteen point one percent by June 2020, which revealed persistent vulnerabilities</w:t>
      </w:r>
      <w:r w:rsidR="00F11F3A" w:rsidRPr="00F11F3A">
        <w:rPr>
          <w:rFonts w:ascii="Times New Roman" w:hAnsi="Times New Roman" w:cs="Times New Roman"/>
          <w:color w:val="000000" w:themeColor="text1"/>
        </w:rPr>
        <w:t xml:space="preserve"> </w:t>
      </w:r>
      <w:r w:rsidR="00F11F3A" w:rsidRPr="00F11F3A">
        <w:rPr>
          <w:rFonts w:ascii="Times New Roman" w:hAnsi="Times New Roman" w:cs="Times New Roman"/>
          <w:color w:val="000000" w:themeColor="text1"/>
        </w:rPr>
        <w:t>(Kimundi, 2022)</w:t>
      </w:r>
      <w:r w:rsidRPr="00F11F3A">
        <w:rPr>
          <w:rFonts w:ascii="Times New Roman" w:hAnsi="Times New Roman" w:cs="Times New Roman"/>
          <w:color w:val="000000" w:themeColor="text1"/>
        </w:rPr>
        <w:t>. The AD/AS model shows how monetary and fiscal easing can support aggregate demand and improve liquidity</w:t>
      </w:r>
      <w:r w:rsidR="00F11F3A" w:rsidRPr="00F11F3A">
        <w:rPr>
          <w:rFonts w:ascii="Times New Roman" w:hAnsi="Times New Roman" w:cs="Times New Roman"/>
          <w:color w:val="000000" w:themeColor="text1"/>
        </w:rPr>
        <w:t xml:space="preserve"> </w:t>
      </w:r>
      <w:r w:rsidR="00F11F3A" w:rsidRPr="00F11F3A">
        <w:rPr>
          <w:rFonts w:ascii="Times New Roman" w:hAnsi="Times New Roman" w:cs="Times New Roman"/>
          <w:color w:val="000000" w:themeColor="text1"/>
        </w:rPr>
        <w:t>(Greenlaw et al., 2022)</w:t>
      </w:r>
      <w:r w:rsidRPr="00F11F3A">
        <w:rPr>
          <w:rFonts w:ascii="Times New Roman" w:hAnsi="Times New Roman" w:cs="Times New Roman"/>
          <w:color w:val="000000" w:themeColor="text1"/>
        </w:rPr>
        <w:t>, but underlying asset quality challenges and financial instability can remain, especially when supply-side constraints are unresolved</w:t>
      </w:r>
      <w:r w:rsidR="00F11F3A" w:rsidRPr="00F11F3A">
        <w:rPr>
          <w:rFonts w:ascii="Times New Roman" w:hAnsi="Times New Roman" w:cs="Times New Roman"/>
          <w:color w:val="000000" w:themeColor="text1"/>
        </w:rPr>
        <w:t>.</w:t>
      </w:r>
    </w:p>
    <w:p w14:paraId="4B165E82" w14:textId="77777777" w:rsidR="00A77CA3" w:rsidRPr="00F11F3A" w:rsidRDefault="00A77CA3" w:rsidP="00F11F3A">
      <w:pPr>
        <w:pStyle w:val="Heading2"/>
        <w:spacing w:before="0" w:after="0" w:line="480" w:lineRule="auto"/>
        <w:rPr>
          <w:rFonts w:ascii="Times New Roman" w:hAnsi="Times New Roman" w:cs="Times New Roman"/>
          <w:b/>
          <w:bCs/>
          <w:color w:val="000000" w:themeColor="text1"/>
          <w:sz w:val="24"/>
          <w:szCs w:val="24"/>
        </w:rPr>
      </w:pPr>
      <w:r w:rsidRPr="00F11F3A">
        <w:rPr>
          <w:rFonts w:ascii="Times New Roman" w:hAnsi="Times New Roman" w:cs="Times New Roman"/>
          <w:b/>
          <w:bCs/>
          <w:color w:val="000000" w:themeColor="text1"/>
          <w:sz w:val="24"/>
          <w:szCs w:val="24"/>
        </w:rPr>
        <w:lastRenderedPageBreak/>
        <w:t>Conclusion</w:t>
      </w:r>
    </w:p>
    <w:p w14:paraId="36289108" w14:textId="77777777" w:rsidR="00A77CA3" w:rsidRPr="00F11F3A" w:rsidRDefault="00A77CA3" w:rsidP="00F11F3A">
      <w:pPr>
        <w:spacing w:after="0" w:line="480" w:lineRule="auto"/>
        <w:rPr>
          <w:rFonts w:ascii="Times New Roman" w:hAnsi="Times New Roman" w:cs="Times New Roman"/>
          <w:color w:val="000000" w:themeColor="text1"/>
        </w:rPr>
      </w:pPr>
      <w:r w:rsidRPr="00F11F3A">
        <w:rPr>
          <w:rFonts w:ascii="Times New Roman" w:hAnsi="Times New Roman" w:cs="Times New Roman"/>
          <w:color w:val="000000" w:themeColor="text1"/>
        </w:rPr>
        <w:t>Kenya’s response to globalization trends during the COVID-19 pandemic exemplifies the complex relationship between local economies and global developments. Disruptions in trade and finance prompted coordinated macroeconomic policies, guided by the aggregate demand and aggregate supply model, to stabilize growth and strengthen market integration. The lessons from this period underscore the necessity for resilient policy frameworks and enhanced international cooperation in the face of global shocks.</w:t>
      </w:r>
    </w:p>
    <w:p w14:paraId="7E51C32F" w14:textId="77777777" w:rsidR="00A77CA3" w:rsidRPr="00F11F3A" w:rsidRDefault="00A77CA3" w:rsidP="00F11F3A">
      <w:pPr>
        <w:spacing w:after="0" w:line="480" w:lineRule="auto"/>
        <w:jc w:val="center"/>
        <w:rPr>
          <w:rFonts w:ascii="Times New Roman" w:hAnsi="Times New Roman" w:cs="Times New Roman"/>
          <w:b/>
          <w:bCs/>
          <w:color w:val="000000" w:themeColor="text1"/>
        </w:rPr>
      </w:pPr>
      <w:r w:rsidRPr="00F11F3A">
        <w:rPr>
          <w:rFonts w:ascii="Times New Roman" w:hAnsi="Times New Roman" w:cs="Times New Roman"/>
          <w:b/>
          <w:bCs/>
          <w:color w:val="000000" w:themeColor="text1"/>
        </w:rPr>
        <w:t>References</w:t>
      </w:r>
    </w:p>
    <w:p w14:paraId="6508D53A" w14:textId="77777777" w:rsidR="00A77CA3" w:rsidRPr="00F11F3A" w:rsidRDefault="00A77CA3" w:rsidP="00F11F3A">
      <w:pPr>
        <w:spacing w:after="0" w:line="480" w:lineRule="auto"/>
        <w:rPr>
          <w:rFonts w:ascii="Times New Roman" w:hAnsi="Times New Roman" w:cs="Times New Roman"/>
          <w:color w:val="000000" w:themeColor="text1"/>
        </w:rPr>
      </w:pPr>
      <w:r w:rsidRPr="00F11F3A">
        <w:rPr>
          <w:rFonts w:ascii="Times New Roman" w:hAnsi="Times New Roman" w:cs="Times New Roman"/>
          <w:color w:val="000000" w:themeColor="text1"/>
        </w:rPr>
        <w:t xml:space="preserve">Greenlaw, S., Shapiro, D., &amp; MacDonald, D. (2022). </w:t>
      </w:r>
      <w:r w:rsidRPr="00F11F3A">
        <w:rPr>
          <w:rFonts w:ascii="Times New Roman" w:hAnsi="Times New Roman" w:cs="Times New Roman"/>
          <w:i/>
          <w:iCs/>
          <w:color w:val="000000" w:themeColor="text1"/>
        </w:rPr>
        <w:t>Principles of Economics</w:t>
      </w:r>
      <w:r w:rsidRPr="00F11F3A">
        <w:rPr>
          <w:rFonts w:ascii="Times New Roman" w:hAnsi="Times New Roman" w:cs="Times New Roman"/>
          <w:color w:val="000000" w:themeColor="text1"/>
        </w:rPr>
        <w:t xml:space="preserve"> (3e ed.). https://openstax.org/books/principles-economics-3e/pages/1-introduction</w:t>
      </w:r>
    </w:p>
    <w:p w14:paraId="73D04808" w14:textId="59AD364C" w:rsidR="00A77CA3" w:rsidRPr="00F11F3A" w:rsidRDefault="00A77CA3" w:rsidP="00F11F3A">
      <w:pPr>
        <w:spacing w:after="0" w:line="480" w:lineRule="auto"/>
        <w:rPr>
          <w:rFonts w:ascii="Times New Roman" w:hAnsi="Times New Roman" w:cs="Times New Roman"/>
          <w:color w:val="000000" w:themeColor="text1"/>
        </w:rPr>
      </w:pPr>
      <w:r w:rsidRPr="00F11F3A">
        <w:rPr>
          <w:rFonts w:ascii="Times New Roman" w:hAnsi="Times New Roman" w:cs="Times New Roman"/>
          <w:color w:val="000000" w:themeColor="text1"/>
        </w:rPr>
        <w:t xml:space="preserve">Kimundi G. (2022, February). </w:t>
      </w:r>
      <w:r w:rsidRPr="00F11F3A">
        <w:rPr>
          <w:rFonts w:ascii="Times New Roman" w:hAnsi="Times New Roman" w:cs="Times New Roman"/>
          <w:i/>
          <w:iCs/>
          <w:color w:val="000000" w:themeColor="text1"/>
        </w:rPr>
        <w:t>COVID-19, policy interventions, credit vulnerabilities and financial (in)stability.</w:t>
      </w:r>
      <w:r w:rsidRPr="00F11F3A">
        <w:rPr>
          <w:rFonts w:ascii="Times New Roman" w:hAnsi="Times New Roman" w:cs="Times New Roman"/>
          <w:color w:val="000000" w:themeColor="text1"/>
        </w:rPr>
        <w:t xml:space="preserve"> Kenya Bankers Association – One Industry. Transforming Kenya. https://www.kba.co.ke/wp-content/uploads/2022/05/WPS_08_2022.pdf</w:t>
      </w:r>
    </w:p>
    <w:p w14:paraId="6F6FE59B" w14:textId="77777777" w:rsidR="000C5F2F" w:rsidRPr="00F11F3A" w:rsidRDefault="000C5F2F" w:rsidP="00F11F3A">
      <w:pPr>
        <w:spacing w:after="0" w:line="480" w:lineRule="auto"/>
        <w:rPr>
          <w:rFonts w:ascii="Times New Roman" w:hAnsi="Times New Roman" w:cs="Times New Roman"/>
          <w:color w:val="000000" w:themeColor="text1"/>
          <w:lang w:val="en-US"/>
        </w:rPr>
      </w:pPr>
    </w:p>
    <w:sectPr w:rsidR="000C5F2F" w:rsidRPr="00F11F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431"/>
    <w:multiLevelType w:val="multilevel"/>
    <w:tmpl w:val="E792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A2F6C"/>
    <w:multiLevelType w:val="multilevel"/>
    <w:tmpl w:val="7D2ED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83D01"/>
    <w:multiLevelType w:val="multilevel"/>
    <w:tmpl w:val="24E6C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0522E"/>
    <w:multiLevelType w:val="multilevel"/>
    <w:tmpl w:val="E708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B5F35"/>
    <w:multiLevelType w:val="hybridMultilevel"/>
    <w:tmpl w:val="67F20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9E2176"/>
    <w:multiLevelType w:val="hybridMultilevel"/>
    <w:tmpl w:val="DACA0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E926BE"/>
    <w:multiLevelType w:val="multilevel"/>
    <w:tmpl w:val="E45AF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977CF"/>
    <w:multiLevelType w:val="multilevel"/>
    <w:tmpl w:val="432C4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A3355"/>
    <w:multiLevelType w:val="multilevel"/>
    <w:tmpl w:val="0CCE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204CD"/>
    <w:multiLevelType w:val="multilevel"/>
    <w:tmpl w:val="D12A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65E4C"/>
    <w:multiLevelType w:val="multilevel"/>
    <w:tmpl w:val="B77ED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F32D4"/>
    <w:multiLevelType w:val="multilevel"/>
    <w:tmpl w:val="6994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B4D30"/>
    <w:multiLevelType w:val="multilevel"/>
    <w:tmpl w:val="F740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94523"/>
    <w:multiLevelType w:val="multilevel"/>
    <w:tmpl w:val="13F4B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B41F5"/>
    <w:multiLevelType w:val="multilevel"/>
    <w:tmpl w:val="35BC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F04FA"/>
    <w:multiLevelType w:val="multilevel"/>
    <w:tmpl w:val="5AE69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E63E3B"/>
    <w:multiLevelType w:val="multilevel"/>
    <w:tmpl w:val="37CCF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191FFE"/>
    <w:multiLevelType w:val="multilevel"/>
    <w:tmpl w:val="0540C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B59B9"/>
    <w:multiLevelType w:val="multilevel"/>
    <w:tmpl w:val="BF8E3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EA332C"/>
    <w:multiLevelType w:val="multilevel"/>
    <w:tmpl w:val="937A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081420"/>
    <w:multiLevelType w:val="hybridMultilevel"/>
    <w:tmpl w:val="622ED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F472C08"/>
    <w:multiLevelType w:val="multilevel"/>
    <w:tmpl w:val="E3329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45748">
    <w:abstractNumId w:val="1"/>
  </w:num>
  <w:num w:numId="2" w16cid:durableId="1182351777">
    <w:abstractNumId w:val="16"/>
  </w:num>
  <w:num w:numId="3" w16cid:durableId="484902647">
    <w:abstractNumId w:val="0"/>
  </w:num>
  <w:num w:numId="4" w16cid:durableId="332101147">
    <w:abstractNumId w:val="9"/>
  </w:num>
  <w:num w:numId="5" w16cid:durableId="1985425265">
    <w:abstractNumId w:val="11"/>
  </w:num>
  <w:num w:numId="6" w16cid:durableId="2123725865">
    <w:abstractNumId w:val="12"/>
  </w:num>
  <w:num w:numId="7" w16cid:durableId="1522088566">
    <w:abstractNumId w:val="3"/>
  </w:num>
  <w:num w:numId="8" w16cid:durableId="1713920911">
    <w:abstractNumId w:val="19"/>
  </w:num>
  <w:num w:numId="9" w16cid:durableId="1090392493">
    <w:abstractNumId w:val="14"/>
  </w:num>
  <w:num w:numId="10" w16cid:durableId="1179345143">
    <w:abstractNumId w:val="10"/>
  </w:num>
  <w:num w:numId="11" w16cid:durableId="1802187804">
    <w:abstractNumId w:val="7"/>
  </w:num>
  <w:num w:numId="12" w16cid:durableId="1238249228">
    <w:abstractNumId w:val="13"/>
  </w:num>
  <w:num w:numId="13" w16cid:durableId="1524828983">
    <w:abstractNumId w:val="2"/>
  </w:num>
  <w:num w:numId="14" w16cid:durableId="469251705">
    <w:abstractNumId w:val="17"/>
  </w:num>
  <w:num w:numId="15" w16cid:durableId="1798184993">
    <w:abstractNumId w:val="21"/>
  </w:num>
  <w:num w:numId="16" w16cid:durableId="1343246018">
    <w:abstractNumId w:val="15"/>
  </w:num>
  <w:num w:numId="17" w16cid:durableId="1569849644">
    <w:abstractNumId w:val="6"/>
  </w:num>
  <w:num w:numId="18" w16cid:durableId="75593058">
    <w:abstractNumId w:val="8"/>
  </w:num>
  <w:num w:numId="19" w16cid:durableId="1995719643">
    <w:abstractNumId w:val="18"/>
  </w:num>
  <w:num w:numId="20" w16cid:durableId="1234504677">
    <w:abstractNumId w:val="4"/>
  </w:num>
  <w:num w:numId="21" w16cid:durableId="699862630">
    <w:abstractNumId w:val="5"/>
  </w:num>
  <w:num w:numId="22" w16cid:durableId="3147698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E1"/>
    <w:rsid w:val="000C5F2F"/>
    <w:rsid w:val="001E37CB"/>
    <w:rsid w:val="0021525A"/>
    <w:rsid w:val="00226FE1"/>
    <w:rsid w:val="003837C4"/>
    <w:rsid w:val="00604B3D"/>
    <w:rsid w:val="00883EBA"/>
    <w:rsid w:val="00A77CA3"/>
    <w:rsid w:val="00E547B9"/>
    <w:rsid w:val="00F11F3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628C7"/>
  <w15:chartTrackingRefBased/>
  <w15:docId w15:val="{356F0369-2B4D-6B43-9C07-745C8786A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6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6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6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6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FE1"/>
    <w:rPr>
      <w:rFonts w:eastAsiaTheme="majorEastAsia" w:cstheme="majorBidi"/>
      <w:color w:val="272727" w:themeColor="text1" w:themeTint="D8"/>
    </w:rPr>
  </w:style>
  <w:style w:type="paragraph" w:styleId="Title">
    <w:name w:val="Title"/>
    <w:basedOn w:val="Normal"/>
    <w:next w:val="Normal"/>
    <w:link w:val="TitleChar"/>
    <w:uiPriority w:val="10"/>
    <w:qFormat/>
    <w:rsid w:val="00226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FE1"/>
    <w:pPr>
      <w:spacing w:before="160"/>
      <w:jc w:val="center"/>
    </w:pPr>
    <w:rPr>
      <w:i/>
      <w:iCs/>
      <w:color w:val="404040" w:themeColor="text1" w:themeTint="BF"/>
    </w:rPr>
  </w:style>
  <w:style w:type="character" w:customStyle="1" w:styleId="QuoteChar">
    <w:name w:val="Quote Char"/>
    <w:basedOn w:val="DefaultParagraphFont"/>
    <w:link w:val="Quote"/>
    <w:uiPriority w:val="29"/>
    <w:rsid w:val="00226FE1"/>
    <w:rPr>
      <w:i/>
      <w:iCs/>
      <w:color w:val="404040" w:themeColor="text1" w:themeTint="BF"/>
    </w:rPr>
  </w:style>
  <w:style w:type="paragraph" w:styleId="ListParagraph">
    <w:name w:val="List Paragraph"/>
    <w:basedOn w:val="Normal"/>
    <w:uiPriority w:val="34"/>
    <w:qFormat/>
    <w:rsid w:val="00226FE1"/>
    <w:pPr>
      <w:ind w:left="720"/>
      <w:contextualSpacing/>
    </w:pPr>
  </w:style>
  <w:style w:type="character" w:styleId="IntenseEmphasis">
    <w:name w:val="Intense Emphasis"/>
    <w:basedOn w:val="DefaultParagraphFont"/>
    <w:uiPriority w:val="21"/>
    <w:qFormat/>
    <w:rsid w:val="00226FE1"/>
    <w:rPr>
      <w:i/>
      <w:iCs/>
      <w:color w:val="0F4761" w:themeColor="accent1" w:themeShade="BF"/>
    </w:rPr>
  </w:style>
  <w:style w:type="paragraph" w:styleId="IntenseQuote">
    <w:name w:val="Intense Quote"/>
    <w:basedOn w:val="Normal"/>
    <w:next w:val="Normal"/>
    <w:link w:val="IntenseQuoteChar"/>
    <w:uiPriority w:val="30"/>
    <w:qFormat/>
    <w:rsid w:val="00226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FE1"/>
    <w:rPr>
      <w:i/>
      <w:iCs/>
      <w:color w:val="0F4761" w:themeColor="accent1" w:themeShade="BF"/>
    </w:rPr>
  </w:style>
  <w:style w:type="character" w:styleId="IntenseReference">
    <w:name w:val="Intense Reference"/>
    <w:basedOn w:val="DefaultParagraphFont"/>
    <w:uiPriority w:val="32"/>
    <w:qFormat/>
    <w:rsid w:val="00226FE1"/>
    <w:rPr>
      <w:b/>
      <w:bCs/>
      <w:smallCaps/>
      <w:color w:val="0F4761" w:themeColor="accent1" w:themeShade="BF"/>
      <w:spacing w:val="5"/>
    </w:rPr>
  </w:style>
  <w:style w:type="character" w:styleId="Hyperlink">
    <w:name w:val="Hyperlink"/>
    <w:basedOn w:val="DefaultParagraphFont"/>
    <w:uiPriority w:val="99"/>
    <w:semiHidden/>
    <w:unhideWhenUsed/>
    <w:rsid w:val="00604B3D"/>
    <w:rPr>
      <w:color w:val="0000FF"/>
      <w:u w:val="single"/>
    </w:rPr>
  </w:style>
  <w:style w:type="paragraph" w:styleId="NormalWeb">
    <w:name w:val="Normal (Web)"/>
    <w:basedOn w:val="Normal"/>
    <w:uiPriority w:val="99"/>
    <w:semiHidden/>
    <w:unhideWhenUsed/>
    <w:rsid w:val="00604B3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604B3D"/>
    <w:rPr>
      <w:i/>
      <w:iCs/>
    </w:rPr>
  </w:style>
  <w:style w:type="character" w:styleId="Strong">
    <w:name w:val="Strong"/>
    <w:basedOn w:val="DefaultParagraphFont"/>
    <w:uiPriority w:val="22"/>
    <w:qFormat/>
    <w:rsid w:val="002152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724</Words>
  <Characters>4291</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2025-12-30T16:48:00Z</dcterms:created>
  <dcterms:modified xsi:type="dcterms:W3CDTF">2025-12-30T18:19:00Z</dcterms:modified>
</cp:coreProperties>
</file>