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36E0A" w14:textId="798B302F" w:rsidR="00D13054" w:rsidRDefault="001E32CA">
      <w:r>
        <w:t>Assignment Activity Unit 1</w:t>
      </w:r>
    </w:p>
    <w:tbl>
      <w:tblPr>
        <w:tblStyle w:val="TableGrid"/>
        <w:tblW w:w="0" w:type="auto"/>
        <w:tblInd w:w="57" w:type="dxa"/>
        <w:tblLook w:val="04A0" w:firstRow="1" w:lastRow="0" w:firstColumn="1" w:lastColumn="0" w:noHBand="0" w:noVBand="1"/>
      </w:tblPr>
      <w:tblGrid>
        <w:gridCol w:w="4478"/>
        <w:gridCol w:w="4481"/>
      </w:tblGrid>
      <w:tr w:rsidR="00C76459" w14:paraId="21A1E812" w14:textId="77777777" w:rsidTr="00C76459">
        <w:tc>
          <w:tcPr>
            <w:tcW w:w="4508" w:type="dxa"/>
          </w:tcPr>
          <w:p w14:paraId="2D27DA92" w14:textId="2A000429" w:rsidR="00C76459" w:rsidRDefault="00E4148A">
            <w:pPr>
              <w:ind w:left="0"/>
            </w:pPr>
            <w:r>
              <w:t xml:space="preserve">Source </w:t>
            </w:r>
          </w:p>
        </w:tc>
        <w:tc>
          <w:tcPr>
            <w:tcW w:w="4508" w:type="dxa"/>
          </w:tcPr>
          <w:p w14:paraId="6CF8D8CB" w14:textId="41E69697" w:rsidR="00C76459" w:rsidRDefault="00E4148A">
            <w:pPr>
              <w:ind w:left="0"/>
            </w:pPr>
            <w:r>
              <w:t xml:space="preserve">Summary </w:t>
            </w:r>
          </w:p>
        </w:tc>
      </w:tr>
      <w:tr w:rsidR="00C76459" w14:paraId="4FA79647" w14:textId="77777777" w:rsidTr="00C76459">
        <w:tc>
          <w:tcPr>
            <w:tcW w:w="4508" w:type="dxa"/>
          </w:tcPr>
          <w:p w14:paraId="5B50CBFC" w14:textId="202096A0" w:rsidR="00C76459" w:rsidRDefault="00E4148A">
            <w:pPr>
              <w:ind w:left="0"/>
            </w:pPr>
            <w:r w:rsidRPr="00E4148A">
              <w:t>Kang, S. P., &amp; Alghifari, M. A. I.</w:t>
            </w:r>
            <w:r w:rsidR="00D63EB2">
              <w:t xml:space="preserve"> </w:t>
            </w:r>
            <w:r w:rsidRPr="00E4148A">
              <w:t>(2024).</w:t>
            </w:r>
          </w:p>
        </w:tc>
        <w:tc>
          <w:tcPr>
            <w:tcW w:w="4508" w:type="dxa"/>
          </w:tcPr>
          <w:p w14:paraId="45AE6D65" w14:textId="7212BB70" w:rsidR="00C76459" w:rsidRDefault="00C76459" w:rsidP="00C76459">
            <w:r w:rsidRPr="00C76459">
              <w:t>Gamified learning is essential for teaching Generation Alpha, as it leverages their digital native nature and enhances engagement. As the first generation born entirely in the 21st century, they are accustomed to interactive and visually stimulating content</w:t>
            </w:r>
            <w:r>
              <w:t>.</w:t>
            </w:r>
            <w:r w:rsidRPr="00C76459">
              <w:t xml:space="preserve"> </w:t>
            </w:r>
            <w:r w:rsidR="00E4148A">
              <w:t>Incorporating gamification into education</w:t>
            </w:r>
            <w:r w:rsidRPr="00C76459">
              <w:t xml:space="preserve"> can make learning more enjoyable, increase motivation, and boost participation. This approach aligns with Generation Alpha's tech-savvy mindset, promoting active involvement and practical application of knowledge, thus catering to their learning preferences and needs</w:t>
            </w:r>
            <w:r>
              <w:t xml:space="preserve">. In general, </w:t>
            </w:r>
            <w:r w:rsidRPr="00C76459">
              <w:t xml:space="preserve">gamified learning can effectively captivate and educate Generation Alpha, fostering a positive attitude </w:t>
            </w:r>
            <w:r w:rsidR="00E4148A">
              <w:t>toward</w:t>
            </w:r>
            <w:r w:rsidRPr="00C76459">
              <w:t xml:space="preserve"> learning</w:t>
            </w:r>
            <w:r>
              <w:t>.</w:t>
            </w:r>
          </w:p>
        </w:tc>
      </w:tr>
      <w:tr w:rsidR="00C76459" w14:paraId="1158895D" w14:textId="77777777" w:rsidTr="00C76459">
        <w:tc>
          <w:tcPr>
            <w:tcW w:w="4508" w:type="dxa"/>
          </w:tcPr>
          <w:p w14:paraId="6B3D12C8" w14:textId="3338ABB9" w:rsidR="00C76459" w:rsidRDefault="00D63EB2">
            <w:pPr>
              <w:ind w:left="0"/>
            </w:pPr>
            <w:r w:rsidRPr="00D63EB2">
              <w:t>Kong</w:t>
            </w:r>
            <w:r>
              <w:t>, Y. M. (2023)</w:t>
            </w:r>
          </w:p>
        </w:tc>
        <w:tc>
          <w:tcPr>
            <w:tcW w:w="4508" w:type="dxa"/>
          </w:tcPr>
          <w:p w14:paraId="21067F90" w14:textId="2305A801" w:rsidR="00C76459" w:rsidRDefault="00C76459">
            <w:pPr>
              <w:ind w:left="0"/>
            </w:pPr>
            <w:r w:rsidRPr="00C76459">
              <w:t xml:space="preserve">Gamification is posited as a potential strategy for engaging and motivating Generation Alpha in higher education. The benefits of gamification encompass personalization and feedback, collaborative and social learning, real-world application and problem-solving, and experiential and immersive learning. Research has shown that gamification can </w:t>
            </w:r>
            <w:r>
              <w:t>effectively improve</w:t>
            </w:r>
            <w:r w:rsidRPr="00C76459">
              <w:t xml:space="preserve"> student engagement and motivation, which are important factors in enhancing learning outcomes. By incorporating gamification into the design of educational programs, institutions can enhance the learning experience and engage Generation Alpha learners </w:t>
            </w:r>
            <w:r>
              <w:t>more meaningfully</w:t>
            </w:r>
            <w:r w:rsidRPr="00C76459">
              <w:t>.</w:t>
            </w:r>
          </w:p>
        </w:tc>
      </w:tr>
      <w:tr w:rsidR="00C76459" w14:paraId="7E72F445" w14:textId="77777777" w:rsidTr="00C76459">
        <w:tc>
          <w:tcPr>
            <w:tcW w:w="4508" w:type="dxa"/>
          </w:tcPr>
          <w:p w14:paraId="0C9A644B" w14:textId="6FF97A41" w:rsidR="00C76459" w:rsidRDefault="00502228">
            <w:pPr>
              <w:ind w:left="0"/>
            </w:pPr>
            <w:r w:rsidRPr="00502228">
              <w:t>Pusztai</w:t>
            </w:r>
            <w:r>
              <w:t xml:space="preserve">. </w:t>
            </w:r>
            <w:proofErr w:type="gramStart"/>
            <w:r>
              <w:t>(</w:t>
            </w:r>
            <w:proofErr w:type="gramEnd"/>
            <w:r w:rsidRPr="00502228">
              <w:t>2020</w:t>
            </w:r>
            <w:r>
              <w:t>)</w:t>
            </w:r>
          </w:p>
        </w:tc>
        <w:tc>
          <w:tcPr>
            <w:tcW w:w="4508" w:type="dxa"/>
          </w:tcPr>
          <w:p w14:paraId="1A064ADE" w14:textId="4C721A65" w:rsidR="00C76459" w:rsidRDefault="00C76459">
            <w:pPr>
              <w:ind w:left="0"/>
            </w:pPr>
            <w:r w:rsidRPr="00C76459">
              <w:t xml:space="preserve">In today's online world, education must open towards smart devices to engage Generation Alpha. Gamification can address the issue of disinterest and lack of motivation in learning by turning knowledge into a problem-solving skill, making learning memorable by relating new knowledge to appropriate experiences. The article suggests that students have a high participation rate in gamified learning, provide positive feedback, and achieve better results. This confirms that gamification can play a vital role in higher </w:t>
            </w:r>
            <w:r w:rsidRPr="00C76459">
              <w:lastRenderedPageBreak/>
              <w:t>education, especially for engaging Generation Alpha, who are accustomed to smart devices and require innovative and engaging teaching methods.</w:t>
            </w:r>
          </w:p>
        </w:tc>
      </w:tr>
      <w:tr w:rsidR="00C76459" w14:paraId="5040B4DC" w14:textId="77777777" w:rsidTr="00C76459">
        <w:tc>
          <w:tcPr>
            <w:tcW w:w="4508" w:type="dxa"/>
          </w:tcPr>
          <w:p w14:paraId="1B12022A" w14:textId="1F47F068" w:rsidR="00C76459" w:rsidRDefault="00502228">
            <w:pPr>
              <w:ind w:left="0"/>
            </w:pPr>
            <w:r w:rsidRPr="00502228">
              <w:lastRenderedPageBreak/>
              <w:t>Walton Family Foundation</w:t>
            </w:r>
            <w:r>
              <w:t>. (</w:t>
            </w:r>
            <w:r w:rsidRPr="00502228">
              <w:t>2024</w:t>
            </w:r>
            <w:r>
              <w:t xml:space="preserve">). </w:t>
            </w:r>
          </w:p>
        </w:tc>
        <w:tc>
          <w:tcPr>
            <w:tcW w:w="4508" w:type="dxa"/>
          </w:tcPr>
          <w:p w14:paraId="1CE9CBEB" w14:textId="10AA2133" w:rsidR="00C76459" w:rsidRDefault="00E4148A">
            <w:pPr>
              <w:ind w:left="0"/>
            </w:pPr>
            <w:r w:rsidRPr="00E4148A">
              <w:t xml:space="preserve">Gamified learning is crucial for teaching Generation Alpha due to their growing disinterest in traditional education and the profound setbacks caused by pandemic learning loss. </w:t>
            </w:r>
            <w:r w:rsidRPr="00E4148A">
              <w:rPr>
                <w:rFonts w:ascii="Arial" w:hAnsi="Arial" w:cs="Arial"/>
              </w:rPr>
              <w:t>​</w:t>
            </w:r>
            <w:r w:rsidRPr="00E4148A">
              <w:t xml:space="preserve"> Incorporating creation gaming platforms like Roblox and Minecraft can foster autonomy, creativity, collaboration, critical thinking, problem-solving, and digital literacy skills. </w:t>
            </w:r>
            <w:r w:rsidRPr="00E4148A">
              <w:rPr>
                <w:rFonts w:ascii="Arial" w:hAnsi="Arial" w:cs="Arial"/>
              </w:rPr>
              <w:t>​</w:t>
            </w:r>
            <w:r w:rsidRPr="00E4148A">
              <w:t xml:space="preserve"> These platforms provide immersive and interactive experiences that align with the natural inclination of children to create and explore, engaging and motivating Generation Alpha while equipping them with the necessary skills for the future. </w:t>
            </w:r>
            <w:r w:rsidRPr="00E4148A">
              <w:rPr>
                <w:rFonts w:ascii="Arial" w:hAnsi="Arial" w:cs="Arial"/>
              </w:rPr>
              <w:t>​</w:t>
            </w:r>
          </w:p>
        </w:tc>
      </w:tr>
      <w:tr w:rsidR="00C76459" w14:paraId="7ACF22A4" w14:textId="77777777" w:rsidTr="00C76459">
        <w:tc>
          <w:tcPr>
            <w:tcW w:w="4508" w:type="dxa"/>
          </w:tcPr>
          <w:p w14:paraId="5D67487E" w14:textId="77777777" w:rsidR="00C76459" w:rsidRDefault="00C76459">
            <w:pPr>
              <w:ind w:left="0"/>
            </w:pPr>
          </w:p>
        </w:tc>
        <w:tc>
          <w:tcPr>
            <w:tcW w:w="4508" w:type="dxa"/>
          </w:tcPr>
          <w:p w14:paraId="5E54EB2E" w14:textId="492007E0" w:rsidR="00C76459" w:rsidRDefault="00C76459">
            <w:pPr>
              <w:ind w:left="0"/>
            </w:pPr>
            <w:r w:rsidRPr="00C76459">
              <w:t xml:space="preserve">Gamified learning is essential for teaching Generation Alpha due to </w:t>
            </w:r>
            <w:r w:rsidR="00E4148A">
              <w:t>its</w:t>
            </w:r>
            <w:r w:rsidRPr="00C76459">
              <w:t xml:space="preserve"> increased screen time, high digital literacy, and shorter attention spans. The primary education process has undergone substantial changes, and traditional teaching methods are no longer suitable for Generation Alpha students. Studies have shown that gamification and game-based learning have a </w:t>
            </w:r>
            <w:r w:rsidR="00502228" w:rsidRPr="00C76459">
              <w:t>favourable</w:t>
            </w:r>
            <w:r w:rsidRPr="00C76459">
              <w:t xml:space="preserve"> influence on primary school education, leading to improved knowledge acquisition and engagement. The integration of game elements such as storylines, narratives, avatars, and rewards has proven effective in enhancing student motivation, engagement, and enjoyment of the learning process. These findings underscore the clear necessity of restructuring primary education curricula to effectively incorporate gamified learning and meet the learning preferences of Generation Alpha.</w:t>
            </w:r>
          </w:p>
        </w:tc>
      </w:tr>
    </w:tbl>
    <w:p w14:paraId="1C1711D5" w14:textId="77777777" w:rsidR="00C76459" w:rsidRDefault="00C76459"/>
    <w:p w14:paraId="6703A17F" w14:textId="4CAC0BFC" w:rsidR="00E4148A" w:rsidRDefault="00E4148A">
      <w:r>
        <w:t xml:space="preserve">References </w:t>
      </w:r>
    </w:p>
    <w:p w14:paraId="6E929605" w14:textId="3E6B3603" w:rsidR="00E4148A" w:rsidRDefault="00E4148A">
      <w:r w:rsidRPr="00E4148A">
        <w:t>Kang, S. P., &amp; Alghifari, M. A. I.</w:t>
      </w:r>
      <w:r>
        <w:t xml:space="preserve"> </w:t>
      </w:r>
      <w:r w:rsidRPr="00E4148A">
        <w:t>(2024).</w:t>
      </w:r>
      <w:r>
        <w:t xml:space="preserve"> </w:t>
      </w:r>
      <w:proofErr w:type="gramStart"/>
      <w:r w:rsidRPr="00E4148A">
        <w:t>Gamification</w:t>
      </w:r>
      <w:proofErr w:type="gramEnd"/>
      <w:r w:rsidRPr="00E4148A">
        <w:t xml:space="preserve"> through genially enhanced generation alpha in-class Chinese Language Learning Engagement.</w:t>
      </w:r>
      <w:r>
        <w:t xml:space="preserve"> </w:t>
      </w:r>
      <w:r w:rsidRPr="00E4148A">
        <w:rPr>
          <w:i/>
          <w:iCs/>
        </w:rPr>
        <w:t>The 14th</w:t>
      </w:r>
      <w:r w:rsidRPr="00E4148A">
        <w:rPr>
          <w:i/>
          <w:iCs/>
        </w:rPr>
        <w:t xml:space="preserve"> </w:t>
      </w:r>
      <w:r w:rsidRPr="00E4148A">
        <w:rPr>
          <w:i/>
          <w:iCs/>
        </w:rPr>
        <w:t xml:space="preserve">Annual International </w:t>
      </w:r>
      <w:r w:rsidRPr="00E4148A">
        <w:rPr>
          <w:i/>
          <w:iCs/>
        </w:rPr>
        <w:lastRenderedPageBreak/>
        <w:t>Symposium of Foreign Language Learning</w:t>
      </w:r>
      <w:r w:rsidRPr="00E4148A">
        <w:t xml:space="preserve">. NST Proceedings. pages 97-105. </w:t>
      </w:r>
      <w:r w:rsidR="00D63EB2" w:rsidRPr="00502228">
        <w:t>https://doi.org/10.11594/nstp.2024.3808</w:t>
      </w:r>
    </w:p>
    <w:p w14:paraId="35274289" w14:textId="587B227F" w:rsidR="00D63EB2" w:rsidRDefault="00D63EB2" w:rsidP="00D63EB2">
      <w:r w:rsidRPr="00D63EB2">
        <w:t>Kong</w:t>
      </w:r>
      <w:r>
        <w:t>, Y. M. (2023)</w:t>
      </w:r>
      <w:r>
        <w:t xml:space="preserve">. </w:t>
      </w:r>
      <w:r w:rsidRPr="00D63EB2">
        <w:rPr>
          <w:i/>
          <w:iCs/>
        </w:rPr>
        <w:t xml:space="preserve">Gamifying </w:t>
      </w:r>
      <w:r w:rsidRPr="00D63EB2">
        <w:rPr>
          <w:i/>
          <w:iCs/>
        </w:rPr>
        <w:t>higher education for generation alpha</w:t>
      </w:r>
      <w:r w:rsidRPr="00D63EB2">
        <w:rPr>
          <w:i/>
          <w:iCs/>
        </w:rPr>
        <w:t>: Aligning</w:t>
      </w:r>
      <w:r w:rsidRPr="00D63EB2">
        <w:rPr>
          <w:i/>
          <w:iCs/>
        </w:rPr>
        <w:t xml:space="preserve"> cognitive behavioral needs with business value through a human-centered approach</w:t>
      </w:r>
      <w:r>
        <w:t xml:space="preserve">. </w:t>
      </w:r>
      <w:r w:rsidRPr="00D63EB2">
        <w:t>[</w:t>
      </w:r>
      <w:r>
        <w:t>Master’s thes</w:t>
      </w:r>
      <w:r w:rsidRPr="00D63EB2">
        <w:t>is</w:t>
      </w:r>
      <w:r>
        <w:t xml:space="preserve">, </w:t>
      </w:r>
      <w:r w:rsidRPr="00D63EB2">
        <w:t xml:space="preserve">Massachusetts Institute </w:t>
      </w:r>
      <w:proofErr w:type="gramStart"/>
      <w:r w:rsidRPr="00D63EB2">
        <w:t>Of</w:t>
      </w:r>
      <w:proofErr w:type="gramEnd"/>
      <w:r w:rsidRPr="00D63EB2">
        <w:t xml:space="preserve"> Technology</w:t>
      </w:r>
      <w:r>
        <w:t xml:space="preserve">]. </w:t>
      </w:r>
      <w:r w:rsidRPr="00502228">
        <w:t>https://dspace.mit.edu/handle/1721.1/151565?show=full</w:t>
      </w:r>
      <w:r>
        <w:t xml:space="preserve"> </w:t>
      </w:r>
    </w:p>
    <w:p w14:paraId="207C6855" w14:textId="434FC7BA" w:rsidR="00502228" w:rsidRDefault="00502228" w:rsidP="00502228">
      <w:pPr>
        <w:rPr>
          <w:rFonts w:ascii="Times New Roman" w:hAnsi="Times New Roman" w:cs="Times New Roman"/>
          <w:sz w:val="24"/>
          <w:szCs w:val="24"/>
          <w:lang w:val="en-US"/>
        </w:rPr>
      </w:pPr>
      <w:r w:rsidRPr="00502228">
        <w:rPr>
          <w:rFonts w:ascii="Times New Roman" w:hAnsi="Times New Roman" w:cs="Times New Roman"/>
          <w:sz w:val="24"/>
          <w:szCs w:val="24"/>
          <w:lang w:val="it-IT"/>
        </w:rPr>
        <w:t xml:space="preserve">Fernando, P. A., &amp; Premadasa, H. K. S. (2024). </w:t>
      </w:r>
      <w:r w:rsidRPr="001619CF">
        <w:rPr>
          <w:rFonts w:ascii="Times New Roman" w:hAnsi="Times New Roman" w:cs="Times New Roman"/>
          <w:sz w:val="24"/>
          <w:szCs w:val="24"/>
          <w:lang w:val="en-US"/>
        </w:rPr>
        <w:t xml:space="preserve">Use of gamification and game-based learning in educating Generation Alpha: A systematic literature review. </w:t>
      </w:r>
      <w:r w:rsidRPr="001619CF">
        <w:rPr>
          <w:rFonts w:ascii="Times New Roman" w:hAnsi="Times New Roman" w:cs="Times New Roman"/>
          <w:i/>
          <w:iCs/>
          <w:sz w:val="24"/>
          <w:szCs w:val="24"/>
          <w:lang w:val="en-US"/>
        </w:rPr>
        <w:t>RP03 Educational Technology &amp; Society</w:t>
      </w:r>
      <w:r w:rsidRPr="001619CF">
        <w:rPr>
          <w:rFonts w:ascii="Times New Roman" w:hAnsi="Times New Roman" w:cs="Times New Roman"/>
          <w:sz w:val="24"/>
          <w:szCs w:val="24"/>
          <w:lang w:val="en-US"/>
        </w:rPr>
        <w:t xml:space="preserve">, </w:t>
      </w:r>
      <w:r w:rsidRPr="001619CF">
        <w:rPr>
          <w:rFonts w:ascii="Times New Roman" w:hAnsi="Times New Roman" w:cs="Times New Roman"/>
          <w:i/>
          <w:iCs/>
          <w:sz w:val="24"/>
          <w:szCs w:val="24"/>
          <w:lang w:val="en-US"/>
        </w:rPr>
        <w:t>27</w:t>
      </w:r>
      <w:r w:rsidRPr="001619CF">
        <w:rPr>
          <w:rFonts w:ascii="Times New Roman" w:hAnsi="Times New Roman" w:cs="Times New Roman"/>
          <w:sz w:val="24"/>
          <w:szCs w:val="24"/>
          <w:lang w:val="en-US"/>
        </w:rPr>
        <w:t>(2), 114-132.</w:t>
      </w:r>
      <w:r w:rsidRPr="001619CF">
        <w:rPr>
          <w:rFonts w:ascii="Times New Roman" w:hAnsi="Times New Roman" w:cs="Times New Roman"/>
          <w:sz w:val="24"/>
          <w:szCs w:val="24"/>
        </w:rPr>
        <w:t xml:space="preserve"> </w:t>
      </w:r>
      <w:r w:rsidRPr="00502228">
        <w:rPr>
          <w:rFonts w:ascii="Times New Roman" w:hAnsi="Times New Roman" w:cs="Times New Roman"/>
          <w:sz w:val="24"/>
          <w:szCs w:val="24"/>
          <w:lang w:val="en-US"/>
        </w:rPr>
        <w:t>https://doi.org/10.30191/ETS.202404_27(2)</w:t>
      </w:r>
      <w:r w:rsidRPr="001619CF">
        <w:rPr>
          <w:rFonts w:ascii="Times New Roman" w:hAnsi="Times New Roman" w:cs="Times New Roman"/>
          <w:sz w:val="24"/>
          <w:szCs w:val="24"/>
          <w:lang w:val="en-US"/>
        </w:rPr>
        <w:t>.</w:t>
      </w:r>
    </w:p>
    <w:p w14:paraId="5B137170" w14:textId="3D72C395" w:rsidR="00502228" w:rsidRDefault="00502228" w:rsidP="00502228">
      <w:pPr>
        <w:rPr>
          <w:rFonts w:ascii="inherit" w:hAnsi="inherit" w:cs="Calibri"/>
          <w:color w:val="000000"/>
        </w:rPr>
      </w:pPr>
      <w:r>
        <w:rPr>
          <w:rFonts w:ascii="Calibri" w:hAnsi="Calibri" w:cs="Calibri"/>
          <w:color w:val="000000"/>
        </w:rPr>
        <w:t>Pusztai, K. K. (2020). Gamification in Higher Education. </w:t>
      </w:r>
      <w:r>
        <w:rPr>
          <w:rStyle w:val="Emphasis"/>
          <w:rFonts w:ascii="Calibri" w:hAnsi="Calibri" w:cs="Calibri"/>
          <w:color w:val="000000"/>
        </w:rPr>
        <w:t>Teaching Mathematics and Computer Science</w:t>
      </w:r>
      <w:r>
        <w:rPr>
          <w:rFonts w:ascii="Calibri" w:hAnsi="Calibri" w:cs="Calibri"/>
          <w:color w:val="000000"/>
        </w:rPr>
        <w:t>, </w:t>
      </w:r>
      <w:r>
        <w:rPr>
          <w:rStyle w:val="Emphasis"/>
          <w:rFonts w:ascii="Calibri" w:hAnsi="Calibri" w:cs="Calibri"/>
          <w:color w:val="000000"/>
        </w:rPr>
        <w:t>18</w:t>
      </w:r>
      <w:r>
        <w:rPr>
          <w:rFonts w:ascii="Calibri" w:hAnsi="Calibri" w:cs="Calibri"/>
          <w:color w:val="000000"/>
        </w:rPr>
        <w:t>(2), 87-106. </w:t>
      </w:r>
      <w:r w:rsidRPr="00502228">
        <w:rPr>
          <w:rFonts w:ascii="inherit" w:hAnsi="inherit" w:cs="Calibri"/>
          <w:color w:val="000000"/>
        </w:rPr>
        <w:t>https://doi.org/10.5485/TMCS.2020.0510</w:t>
      </w:r>
    </w:p>
    <w:p w14:paraId="19972835" w14:textId="1C93543D" w:rsidR="00502228" w:rsidRDefault="00502228" w:rsidP="00502228">
      <w:pPr>
        <w:rPr>
          <w:rFonts w:ascii="Calibri" w:hAnsi="Calibri" w:cs="Calibri"/>
          <w:color w:val="000000"/>
        </w:rPr>
      </w:pPr>
      <w:r>
        <w:rPr>
          <w:rFonts w:ascii="Calibri" w:hAnsi="Calibri" w:cs="Calibri"/>
          <w:color w:val="000000"/>
        </w:rPr>
        <w:t>Walton Family Foundation. (2024, April 16). </w:t>
      </w:r>
      <w:r>
        <w:rPr>
          <w:rStyle w:val="Emphasis"/>
          <w:rFonts w:ascii="Calibri" w:hAnsi="Calibri" w:cs="Calibri"/>
          <w:color w:val="000000"/>
        </w:rPr>
        <w:t>Creation gaming and the future of learning: Perspectives from Gen Alpha</w:t>
      </w:r>
      <w:r>
        <w:rPr>
          <w:rFonts w:ascii="Calibri" w:hAnsi="Calibri" w:cs="Calibri"/>
          <w:color w:val="000000"/>
        </w:rPr>
        <w:t>. </w:t>
      </w:r>
      <w:r w:rsidRPr="00502228">
        <w:rPr>
          <w:rFonts w:ascii="inherit" w:hAnsi="inherit" w:cs="Calibri"/>
          <w:color w:val="000000"/>
        </w:rPr>
        <w:t>https://www.waltonfamilyfoundation.org/creation-gaming-and-the-future-of-learning-perspectives-from-gen-alpha</w:t>
      </w:r>
    </w:p>
    <w:p w14:paraId="41DCD720" w14:textId="77777777" w:rsidR="00502228" w:rsidRPr="00502228" w:rsidRDefault="00502228" w:rsidP="00D63EB2">
      <w:pPr>
        <w:rPr>
          <w:lang w:val="en-US"/>
        </w:rPr>
      </w:pPr>
    </w:p>
    <w:sectPr w:rsidR="00502228" w:rsidRPr="00502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Y0tTQxNTE1MzE2MTZW0lEKTi0uzszPAykwrAUAyLKBJywAAAA="/>
  </w:docVars>
  <w:rsids>
    <w:rsidRoot w:val="001E32CA"/>
    <w:rsid w:val="001E32CA"/>
    <w:rsid w:val="002268E1"/>
    <w:rsid w:val="003A60E1"/>
    <w:rsid w:val="00502228"/>
    <w:rsid w:val="006776AF"/>
    <w:rsid w:val="00827EB9"/>
    <w:rsid w:val="00A35799"/>
    <w:rsid w:val="00C76459"/>
    <w:rsid w:val="00D13054"/>
    <w:rsid w:val="00D63EB2"/>
    <w:rsid w:val="00D76D23"/>
    <w:rsid w:val="00E4148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4B5395"/>
  <w15:chartTrackingRefBased/>
  <w15:docId w15:val="{8A2FE468-F304-4F78-8E0D-05D95D814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2CA"/>
    <w:rPr>
      <w:rFonts w:eastAsiaTheme="majorEastAsia" w:cstheme="majorBidi"/>
      <w:color w:val="272727" w:themeColor="text1" w:themeTint="D8"/>
    </w:rPr>
  </w:style>
  <w:style w:type="paragraph" w:styleId="Title">
    <w:name w:val="Title"/>
    <w:basedOn w:val="Normal"/>
    <w:next w:val="Normal"/>
    <w:link w:val="TitleChar"/>
    <w:uiPriority w:val="10"/>
    <w:qFormat/>
    <w:rsid w:val="001E3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2CA"/>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2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32CA"/>
    <w:rPr>
      <w:i/>
      <w:iCs/>
      <w:color w:val="404040" w:themeColor="text1" w:themeTint="BF"/>
    </w:rPr>
  </w:style>
  <w:style w:type="paragraph" w:styleId="ListParagraph">
    <w:name w:val="List Paragraph"/>
    <w:basedOn w:val="Normal"/>
    <w:uiPriority w:val="34"/>
    <w:qFormat/>
    <w:rsid w:val="001E32CA"/>
    <w:pPr>
      <w:ind w:left="720"/>
      <w:contextualSpacing/>
    </w:pPr>
  </w:style>
  <w:style w:type="character" w:styleId="IntenseEmphasis">
    <w:name w:val="Intense Emphasis"/>
    <w:basedOn w:val="DefaultParagraphFont"/>
    <w:uiPriority w:val="21"/>
    <w:qFormat/>
    <w:rsid w:val="001E32CA"/>
    <w:rPr>
      <w:i/>
      <w:iCs/>
      <w:color w:val="0F4761" w:themeColor="accent1" w:themeShade="BF"/>
    </w:rPr>
  </w:style>
  <w:style w:type="paragraph" w:styleId="IntenseQuote">
    <w:name w:val="Intense Quote"/>
    <w:basedOn w:val="Normal"/>
    <w:next w:val="Normal"/>
    <w:link w:val="IntenseQuoteChar"/>
    <w:uiPriority w:val="30"/>
    <w:qFormat/>
    <w:rsid w:val="001E3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2CA"/>
    <w:rPr>
      <w:i/>
      <w:iCs/>
      <w:color w:val="0F4761" w:themeColor="accent1" w:themeShade="BF"/>
    </w:rPr>
  </w:style>
  <w:style w:type="character" w:styleId="IntenseReference">
    <w:name w:val="Intense Reference"/>
    <w:basedOn w:val="DefaultParagraphFont"/>
    <w:uiPriority w:val="32"/>
    <w:qFormat/>
    <w:rsid w:val="001E32CA"/>
    <w:rPr>
      <w:b/>
      <w:bCs/>
      <w:smallCaps/>
      <w:color w:val="0F4761" w:themeColor="accent1" w:themeShade="BF"/>
      <w:spacing w:val="5"/>
    </w:rPr>
  </w:style>
  <w:style w:type="table" w:styleId="TableGrid">
    <w:name w:val="Table Grid"/>
    <w:basedOn w:val="TableNormal"/>
    <w:uiPriority w:val="39"/>
    <w:rsid w:val="00C764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63EB2"/>
    <w:rPr>
      <w:color w:val="467886" w:themeColor="hyperlink"/>
      <w:u w:val="single"/>
    </w:rPr>
  </w:style>
  <w:style w:type="character" w:styleId="UnresolvedMention">
    <w:name w:val="Unresolved Mention"/>
    <w:basedOn w:val="DefaultParagraphFont"/>
    <w:uiPriority w:val="99"/>
    <w:semiHidden/>
    <w:unhideWhenUsed/>
    <w:rsid w:val="00D63EB2"/>
    <w:rPr>
      <w:color w:val="605E5C"/>
      <w:shd w:val="clear" w:color="auto" w:fill="E1DFDD"/>
    </w:rPr>
  </w:style>
  <w:style w:type="paragraph" w:styleId="NormalWeb">
    <w:name w:val="Normal (Web)"/>
    <w:basedOn w:val="Normal"/>
    <w:uiPriority w:val="99"/>
    <w:semiHidden/>
    <w:unhideWhenUsed/>
    <w:rsid w:val="00502228"/>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5022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3863280">
      <w:bodyDiv w:val="1"/>
      <w:marLeft w:val="0"/>
      <w:marRight w:val="0"/>
      <w:marTop w:val="0"/>
      <w:marBottom w:val="0"/>
      <w:divBdr>
        <w:top w:val="none" w:sz="0" w:space="0" w:color="auto"/>
        <w:left w:val="none" w:sz="0" w:space="0" w:color="auto"/>
        <w:bottom w:val="none" w:sz="0" w:space="0" w:color="auto"/>
        <w:right w:val="none" w:sz="0" w:space="0" w:color="auto"/>
      </w:divBdr>
    </w:div>
    <w:div w:id="1944611548">
      <w:bodyDiv w:val="1"/>
      <w:marLeft w:val="0"/>
      <w:marRight w:val="0"/>
      <w:marTop w:val="0"/>
      <w:marBottom w:val="0"/>
      <w:divBdr>
        <w:top w:val="none" w:sz="0" w:space="0" w:color="auto"/>
        <w:left w:val="none" w:sz="0" w:space="0" w:color="auto"/>
        <w:bottom w:val="none" w:sz="0" w:space="0" w:color="auto"/>
        <w:right w:val="none" w:sz="0" w:space="0" w:color="auto"/>
      </w:divBdr>
      <w:divsChild>
        <w:div w:id="554854576">
          <w:marLeft w:val="0"/>
          <w:marRight w:val="0"/>
          <w:marTop w:val="0"/>
          <w:marBottom w:val="0"/>
          <w:divBdr>
            <w:top w:val="none" w:sz="0" w:space="0" w:color="auto"/>
            <w:left w:val="none" w:sz="0" w:space="0" w:color="auto"/>
            <w:bottom w:val="none" w:sz="0" w:space="0" w:color="auto"/>
            <w:right w:val="none" w:sz="0" w:space="0" w:color="auto"/>
          </w:divBdr>
        </w:div>
        <w:div w:id="1374426849">
          <w:marLeft w:val="0"/>
          <w:marRight w:val="0"/>
          <w:marTop w:val="0"/>
          <w:marBottom w:val="0"/>
          <w:divBdr>
            <w:top w:val="none" w:sz="0" w:space="0" w:color="auto"/>
            <w:left w:val="none" w:sz="0" w:space="0" w:color="auto"/>
            <w:bottom w:val="none" w:sz="0" w:space="0" w:color="auto"/>
            <w:right w:val="none" w:sz="0" w:space="0" w:color="auto"/>
          </w:divBdr>
        </w:div>
        <w:div w:id="944388882">
          <w:marLeft w:val="0"/>
          <w:marRight w:val="0"/>
          <w:marTop w:val="0"/>
          <w:marBottom w:val="0"/>
          <w:divBdr>
            <w:top w:val="none" w:sz="0" w:space="0" w:color="auto"/>
            <w:left w:val="none" w:sz="0" w:space="0" w:color="auto"/>
            <w:bottom w:val="none" w:sz="0" w:space="0" w:color="auto"/>
            <w:right w:val="none" w:sz="0" w:space="0" w:color="auto"/>
          </w:divBdr>
        </w:div>
        <w:div w:id="916598361">
          <w:marLeft w:val="0"/>
          <w:marRight w:val="0"/>
          <w:marTop w:val="0"/>
          <w:marBottom w:val="0"/>
          <w:divBdr>
            <w:top w:val="none" w:sz="0" w:space="0" w:color="auto"/>
            <w:left w:val="none" w:sz="0" w:space="0" w:color="auto"/>
            <w:bottom w:val="none" w:sz="0" w:space="0" w:color="auto"/>
            <w:right w:val="none" w:sz="0" w:space="0" w:color="auto"/>
          </w:divBdr>
        </w:div>
        <w:div w:id="284971405">
          <w:marLeft w:val="0"/>
          <w:marRight w:val="0"/>
          <w:marTop w:val="0"/>
          <w:marBottom w:val="0"/>
          <w:divBdr>
            <w:top w:val="none" w:sz="0" w:space="0" w:color="auto"/>
            <w:left w:val="none" w:sz="0" w:space="0" w:color="auto"/>
            <w:bottom w:val="none" w:sz="0" w:space="0" w:color="auto"/>
            <w:right w:val="none" w:sz="0" w:space="0" w:color="auto"/>
          </w:divBdr>
        </w:div>
        <w:div w:id="948198260">
          <w:marLeft w:val="0"/>
          <w:marRight w:val="0"/>
          <w:marTop w:val="0"/>
          <w:marBottom w:val="0"/>
          <w:divBdr>
            <w:top w:val="none" w:sz="0" w:space="0" w:color="auto"/>
            <w:left w:val="none" w:sz="0" w:space="0" w:color="auto"/>
            <w:bottom w:val="none" w:sz="0" w:space="0" w:color="auto"/>
            <w:right w:val="none" w:sz="0" w:space="0" w:color="auto"/>
          </w:divBdr>
        </w:div>
        <w:div w:id="570848420">
          <w:marLeft w:val="0"/>
          <w:marRight w:val="0"/>
          <w:marTop w:val="0"/>
          <w:marBottom w:val="0"/>
          <w:divBdr>
            <w:top w:val="none" w:sz="0" w:space="0" w:color="auto"/>
            <w:left w:val="none" w:sz="0" w:space="0" w:color="auto"/>
            <w:bottom w:val="none" w:sz="0" w:space="0" w:color="auto"/>
            <w:right w:val="none" w:sz="0" w:space="0" w:color="auto"/>
          </w:divBdr>
        </w:div>
        <w:div w:id="1953703338">
          <w:marLeft w:val="0"/>
          <w:marRight w:val="0"/>
          <w:marTop w:val="0"/>
          <w:marBottom w:val="0"/>
          <w:divBdr>
            <w:top w:val="none" w:sz="0" w:space="0" w:color="auto"/>
            <w:left w:val="none" w:sz="0" w:space="0" w:color="auto"/>
            <w:bottom w:val="none" w:sz="0" w:space="0" w:color="auto"/>
            <w:right w:val="none" w:sz="0" w:space="0" w:color="auto"/>
          </w:divBdr>
        </w:div>
        <w:div w:id="2095927663">
          <w:marLeft w:val="0"/>
          <w:marRight w:val="0"/>
          <w:marTop w:val="0"/>
          <w:marBottom w:val="0"/>
          <w:divBdr>
            <w:top w:val="none" w:sz="0" w:space="0" w:color="auto"/>
            <w:left w:val="none" w:sz="0" w:space="0" w:color="auto"/>
            <w:bottom w:val="none" w:sz="0" w:space="0" w:color="auto"/>
            <w:right w:val="none" w:sz="0" w:space="0" w:color="auto"/>
          </w:divBdr>
        </w:div>
        <w:div w:id="1067260485">
          <w:marLeft w:val="0"/>
          <w:marRight w:val="0"/>
          <w:marTop w:val="0"/>
          <w:marBottom w:val="0"/>
          <w:divBdr>
            <w:top w:val="none" w:sz="0" w:space="0" w:color="auto"/>
            <w:left w:val="none" w:sz="0" w:space="0" w:color="auto"/>
            <w:bottom w:val="none" w:sz="0" w:space="0" w:color="auto"/>
            <w:right w:val="none" w:sz="0" w:space="0" w:color="auto"/>
          </w:divBdr>
        </w:div>
        <w:div w:id="1630277283">
          <w:marLeft w:val="0"/>
          <w:marRight w:val="0"/>
          <w:marTop w:val="0"/>
          <w:marBottom w:val="0"/>
          <w:divBdr>
            <w:top w:val="none" w:sz="0" w:space="0" w:color="auto"/>
            <w:left w:val="none" w:sz="0" w:space="0" w:color="auto"/>
            <w:bottom w:val="none" w:sz="0" w:space="0" w:color="auto"/>
            <w:right w:val="none" w:sz="0" w:space="0" w:color="auto"/>
          </w:divBdr>
        </w:div>
        <w:div w:id="434784800">
          <w:marLeft w:val="0"/>
          <w:marRight w:val="0"/>
          <w:marTop w:val="0"/>
          <w:marBottom w:val="0"/>
          <w:divBdr>
            <w:top w:val="none" w:sz="0" w:space="0" w:color="auto"/>
            <w:left w:val="none" w:sz="0" w:space="0" w:color="auto"/>
            <w:bottom w:val="none" w:sz="0" w:space="0" w:color="auto"/>
            <w:right w:val="none" w:sz="0" w:space="0" w:color="auto"/>
          </w:divBdr>
        </w:div>
        <w:div w:id="1195925695">
          <w:marLeft w:val="0"/>
          <w:marRight w:val="0"/>
          <w:marTop w:val="0"/>
          <w:marBottom w:val="0"/>
          <w:divBdr>
            <w:top w:val="none" w:sz="0" w:space="0" w:color="auto"/>
            <w:left w:val="none" w:sz="0" w:space="0" w:color="auto"/>
            <w:bottom w:val="none" w:sz="0" w:space="0" w:color="auto"/>
            <w:right w:val="none" w:sz="0" w:space="0" w:color="auto"/>
          </w:divBdr>
        </w:div>
        <w:div w:id="674771842">
          <w:marLeft w:val="0"/>
          <w:marRight w:val="0"/>
          <w:marTop w:val="0"/>
          <w:marBottom w:val="0"/>
          <w:divBdr>
            <w:top w:val="none" w:sz="0" w:space="0" w:color="auto"/>
            <w:left w:val="none" w:sz="0" w:space="0" w:color="auto"/>
            <w:bottom w:val="none" w:sz="0" w:space="0" w:color="auto"/>
            <w:right w:val="none" w:sz="0" w:space="0" w:color="auto"/>
          </w:divBdr>
        </w:div>
        <w:div w:id="373233885">
          <w:marLeft w:val="0"/>
          <w:marRight w:val="0"/>
          <w:marTop w:val="0"/>
          <w:marBottom w:val="0"/>
          <w:divBdr>
            <w:top w:val="none" w:sz="0" w:space="0" w:color="auto"/>
            <w:left w:val="none" w:sz="0" w:space="0" w:color="auto"/>
            <w:bottom w:val="none" w:sz="0" w:space="0" w:color="auto"/>
            <w:right w:val="none" w:sz="0" w:space="0" w:color="auto"/>
          </w:divBdr>
        </w:div>
        <w:div w:id="1890414855">
          <w:marLeft w:val="0"/>
          <w:marRight w:val="0"/>
          <w:marTop w:val="0"/>
          <w:marBottom w:val="0"/>
          <w:divBdr>
            <w:top w:val="none" w:sz="0" w:space="0" w:color="auto"/>
            <w:left w:val="none" w:sz="0" w:space="0" w:color="auto"/>
            <w:bottom w:val="none" w:sz="0" w:space="0" w:color="auto"/>
            <w:right w:val="none" w:sz="0" w:space="0" w:color="auto"/>
          </w:divBdr>
        </w:div>
        <w:div w:id="1355810815">
          <w:marLeft w:val="0"/>
          <w:marRight w:val="0"/>
          <w:marTop w:val="0"/>
          <w:marBottom w:val="0"/>
          <w:divBdr>
            <w:top w:val="none" w:sz="0" w:space="0" w:color="auto"/>
            <w:left w:val="none" w:sz="0" w:space="0" w:color="auto"/>
            <w:bottom w:val="none" w:sz="0" w:space="0" w:color="auto"/>
            <w:right w:val="none" w:sz="0" w:space="0" w:color="auto"/>
          </w:divBdr>
        </w:div>
        <w:div w:id="1105343566">
          <w:marLeft w:val="0"/>
          <w:marRight w:val="0"/>
          <w:marTop w:val="0"/>
          <w:marBottom w:val="0"/>
          <w:divBdr>
            <w:top w:val="none" w:sz="0" w:space="0" w:color="auto"/>
            <w:left w:val="none" w:sz="0" w:space="0" w:color="auto"/>
            <w:bottom w:val="none" w:sz="0" w:space="0" w:color="auto"/>
            <w:right w:val="none" w:sz="0" w:space="0" w:color="auto"/>
          </w:divBdr>
        </w:div>
        <w:div w:id="576942332">
          <w:marLeft w:val="0"/>
          <w:marRight w:val="0"/>
          <w:marTop w:val="0"/>
          <w:marBottom w:val="0"/>
          <w:divBdr>
            <w:top w:val="none" w:sz="0" w:space="0" w:color="auto"/>
            <w:left w:val="none" w:sz="0" w:space="0" w:color="auto"/>
            <w:bottom w:val="none" w:sz="0" w:space="0" w:color="auto"/>
            <w:right w:val="none" w:sz="0" w:space="0" w:color="auto"/>
          </w:divBdr>
        </w:div>
        <w:div w:id="497158178">
          <w:marLeft w:val="0"/>
          <w:marRight w:val="0"/>
          <w:marTop w:val="0"/>
          <w:marBottom w:val="0"/>
          <w:divBdr>
            <w:top w:val="none" w:sz="0" w:space="0" w:color="auto"/>
            <w:left w:val="none" w:sz="0" w:space="0" w:color="auto"/>
            <w:bottom w:val="none" w:sz="0" w:space="0" w:color="auto"/>
            <w:right w:val="none" w:sz="0" w:space="0" w:color="auto"/>
          </w:divBdr>
        </w:div>
        <w:div w:id="2006977928">
          <w:marLeft w:val="0"/>
          <w:marRight w:val="0"/>
          <w:marTop w:val="0"/>
          <w:marBottom w:val="0"/>
          <w:divBdr>
            <w:top w:val="none" w:sz="0" w:space="0" w:color="auto"/>
            <w:left w:val="none" w:sz="0" w:space="0" w:color="auto"/>
            <w:bottom w:val="none" w:sz="0" w:space="0" w:color="auto"/>
            <w:right w:val="none" w:sz="0" w:space="0" w:color="auto"/>
          </w:divBdr>
        </w:div>
        <w:div w:id="812284978">
          <w:marLeft w:val="0"/>
          <w:marRight w:val="0"/>
          <w:marTop w:val="0"/>
          <w:marBottom w:val="0"/>
          <w:divBdr>
            <w:top w:val="none" w:sz="0" w:space="0" w:color="auto"/>
            <w:left w:val="none" w:sz="0" w:space="0" w:color="auto"/>
            <w:bottom w:val="none" w:sz="0" w:space="0" w:color="auto"/>
            <w:right w:val="none" w:sz="0" w:space="0" w:color="auto"/>
          </w:divBdr>
        </w:div>
        <w:div w:id="923077349">
          <w:marLeft w:val="0"/>
          <w:marRight w:val="0"/>
          <w:marTop w:val="0"/>
          <w:marBottom w:val="0"/>
          <w:divBdr>
            <w:top w:val="none" w:sz="0" w:space="0" w:color="auto"/>
            <w:left w:val="none" w:sz="0" w:space="0" w:color="auto"/>
            <w:bottom w:val="none" w:sz="0" w:space="0" w:color="auto"/>
            <w:right w:val="none" w:sz="0" w:space="0" w:color="auto"/>
          </w:divBdr>
        </w:div>
        <w:div w:id="1833446553">
          <w:marLeft w:val="0"/>
          <w:marRight w:val="0"/>
          <w:marTop w:val="0"/>
          <w:marBottom w:val="0"/>
          <w:divBdr>
            <w:top w:val="none" w:sz="0" w:space="0" w:color="auto"/>
            <w:left w:val="none" w:sz="0" w:space="0" w:color="auto"/>
            <w:bottom w:val="none" w:sz="0" w:space="0" w:color="auto"/>
            <w:right w:val="none" w:sz="0" w:space="0" w:color="auto"/>
          </w:divBdr>
        </w:div>
        <w:div w:id="1967200350">
          <w:marLeft w:val="0"/>
          <w:marRight w:val="0"/>
          <w:marTop w:val="0"/>
          <w:marBottom w:val="0"/>
          <w:divBdr>
            <w:top w:val="none" w:sz="0" w:space="0" w:color="auto"/>
            <w:left w:val="none" w:sz="0" w:space="0" w:color="auto"/>
            <w:bottom w:val="none" w:sz="0" w:space="0" w:color="auto"/>
            <w:right w:val="none" w:sz="0" w:space="0" w:color="auto"/>
          </w:divBdr>
        </w:div>
        <w:div w:id="1626740973">
          <w:marLeft w:val="0"/>
          <w:marRight w:val="0"/>
          <w:marTop w:val="0"/>
          <w:marBottom w:val="0"/>
          <w:divBdr>
            <w:top w:val="none" w:sz="0" w:space="0" w:color="auto"/>
            <w:left w:val="none" w:sz="0" w:space="0" w:color="auto"/>
            <w:bottom w:val="none" w:sz="0" w:space="0" w:color="auto"/>
            <w:right w:val="none" w:sz="0" w:space="0" w:color="auto"/>
          </w:divBdr>
        </w:div>
        <w:div w:id="1033962292">
          <w:marLeft w:val="0"/>
          <w:marRight w:val="0"/>
          <w:marTop w:val="0"/>
          <w:marBottom w:val="0"/>
          <w:divBdr>
            <w:top w:val="none" w:sz="0" w:space="0" w:color="auto"/>
            <w:left w:val="none" w:sz="0" w:space="0" w:color="auto"/>
            <w:bottom w:val="none" w:sz="0" w:space="0" w:color="auto"/>
            <w:right w:val="none" w:sz="0" w:space="0" w:color="auto"/>
          </w:divBdr>
        </w:div>
        <w:div w:id="1716854076">
          <w:marLeft w:val="0"/>
          <w:marRight w:val="0"/>
          <w:marTop w:val="0"/>
          <w:marBottom w:val="0"/>
          <w:divBdr>
            <w:top w:val="none" w:sz="0" w:space="0" w:color="auto"/>
            <w:left w:val="none" w:sz="0" w:space="0" w:color="auto"/>
            <w:bottom w:val="none" w:sz="0" w:space="0" w:color="auto"/>
            <w:right w:val="none" w:sz="0" w:space="0" w:color="auto"/>
          </w:divBdr>
        </w:div>
        <w:div w:id="687289553">
          <w:marLeft w:val="0"/>
          <w:marRight w:val="0"/>
          <w:marTop w:val="0"/>
          <w:marBottom w:val="0"/>
          <w:divBdr>
            <w:top w:val="none" w:sz="0" w:space="0" w:color="auto"/>
            <w:left w:val="none" w:sz="0" w:space="0" w:color="auto"/>
            <w:bottom w:val="none" w:sz="0" w:space="0" w:color="auto"/>
            <w:right w:val="none" w:sz="0" w:space="0" w:color="auto"/>
          </w:divBdr>
        </w:div>
        <w:div w:id="1096561635">
          <w:marLeft w:val="0"/>
          <w:marRight w:val="0"/>
          <w:marTop w:val="0"/>
          <w:marBottom w:val="0"/>
          <w:divBdr>
            <w:top w:val="none" w:sz="0" w:space="0" w:color="auto"/>
            <w:left w:val="none" w:sz="0" w:space="0" w:color="auto"/>
            <w:bottom w:val="none" w:sz="0" w:space="0" w:color="auto"/>
            <w:right w:val="none" w:sz="0" w:space="0" w:color="auto"/>
          </w:divBdr>
        </w:div>
        <w:div w:id="645478364">
          <w:marLeft w:val="0"/>
          <w:marRight w:val="0"/>
          <w:marTop w:val="0"/>
          <w:marBottom w:val="0"/>
          <w:divBdr>
            <w:top w:val="none" w:sz="0" w:space="0" w:color="auto"/>
            <w:left w:val="none" w:sz="0" w:space="0" w:color="auto"/>
            <w:bottom w:val="none" w:sz="0" w:space="0" w:color="auto"/>
            <w:right w:val="none" w:sz="0" w:space="0" w:color="auto"/>
          </w:divBdr>
        </w:div>
        <w:div w:id="20316854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611</Words>
  <Characters>4199</Characters>
  <Application>Microsoft Office Word</Application>
  <DocSecurity>0</DocSecurity>
  <Lines>113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2024-06-27T11:42:00Z</dcterms:created>
  <dcterms:modified xsi:type="dcterms:W3CDTF">2024-06-27T11:42:00Z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4215841d-2b98-4706-b661-967663665aa8</vt:lpwstr>
  </property>
</Properties>
</file>