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9D0809" w14:textId="77777777" w:rsidR="007C76E4" w:rsidRDefault="007C76E4" w:rsidP="007C76E4">
      <w:pPr>
        <w:jc w:val="center"/>
        <w:rPr>
          <w:rFonts w:ascii="Times New Roman" w:hAnsi="Times New Roman" w:cs="Times New Roman"/>
          <w:sz w:val="24"/>
          <w:szCs w:val="24"/>
          <w:lang w:val="en-US"/>
        </w:rPr>
      </w:pPr>
    </w:p>
    <w:p w14:paraId="600CBE20" w14:textId="77777777" w:rsidR="007C76E4" w:rsidRDefault="007C76E4" w:rsidP="007C76E4">
      <w:pPr>
        <w:jc w:val="center"/>
        <w:rPr>
          <w:rFonts w:ascii="Times New Roman" w:hAnsi="Times New Roman" w:cs="Times New Roman"/>
          <w:sz w:val="24"/>
          <w:szCs w:val="24"/>
          <w:lang w:val="en-US"/>
        </w:rPr>
      </w:pPr>
    </w:p>
    <w:p w14:paraId="280CAF33" w14:textId="77777777" w:rsidR="007C76E4" w:rsidRDefault="007C76E4" w:rsidP="007C76E4">
      <w:pPr>
        <w:jc w:val="center"/>
        <w:rPr>
          <w:rFonts w:ascii="Times New Roman" w:hAnsi="Times New Roman" w:cs="Times New Roman"/>
          <w:sz w:val="24"/>
          <w:szCs w:val="24"/>
          <w:lang w:val="en-US"/>
        </w:rPr>
      </w:pPr>
    </w:p>
    <w:p w14:paraId="59D112B1" w14:textId="77777777" w:rsidR="007C76E4" w:rsidRDefault="007C76E4" w:rsidP="007C76E4">
      <w:pPr>
        <w:jc w:val="center"/>
        <w:rPr>
          <w:rFonts w:ascii="Times New Roman" w:hAnsi="Times New Roman" w:cs="Times New Roman"/>
          <w:sz w:val="24"/>
          <w:szCs w:val="24"/>
          <w:lang w:val="en-US"/>
        </w:rPr>
      </w:pPr>
    </w:p>
    <w:p w14:paraId="118E1CAB" w14:textId="09AA0010" w:rsidR="007C76E4" w:rsidRPr="004B3BD6" w:rsidRDefault="007C76E4" w:rsidP="007C76E4">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Gamified Learning for Generation Alpha </w:t>
      </w:r>
    </w:p>
    <w:p w14:paraId="13EE8033" w14:textId="77777777" w:rsidR="007C76E4" w:rsidRPr="004B3BD6" w:rsidRDefault="007C76E4" w:rsidP="007C76E4">
      <w:pPr>
        <w:jc w:val="center"/>
        <w:rPr>
          <w:rFonts w:ascii="Times New Roman" w:hAnsi="Times New Roman" w:cs="Times New Roman"/>
          <w:sz w:val="24"/>
          <w:szCs w:val="24"/>
        </w:rPr>
      </w:pPr>
      <w:r w:rsidRPr="004B3BD6">
        <w:rPr>
          <w:rFonts w:ascii="Times New Roman" w:hAnsi="Times New Roman" w:cs="Times New Roman"/>
          <w:sz w:val="24"/>
          <w:szCs w:val="24"/>
        </w:rPr>
        <w:t>Godfrey Ouma</w:t>
      </w:r>
    </w:p>
    <w:p w14:paraId="3FB8E138" w14:textId="77777777" w:rsidR="007C76E4" w:rsidRPr="004B3BD6" w:rsidRDefault="007C76E4" w:rsidP="007C76E4">
      <w:pPr>
        <w:jc w:val="center"/>
        <w:rPr>
          <w:rFonts w:ascii="Times New Roman" w:hAnsi="Times New Roman" w:cs="Times New Roman"/>
          <w:sz w:val="24"/>
          <w:szCs w:val="24"/>
        </w:rPr>
      </w:pPr>
      <w:r w:rsidRPr="004B3BD6">
        <w:rPr>
          <w:rFonts w:ascii="Times New Roman" w:hAnsi="Times New Roman" w:cs="Times New Roman"/>
          <w:sz w:val="24"/>
          <w:szCs w:val="24"/>
        </w:rPr>
        <w:t>University of the People</w:t>
      </w:r>
    </w:p>
    <w:p w14:paraId="32A50021" w14:textId="77777777" w:rsidR="007C76E4" w:rsidRPr="004B3BD6" w:rsidRDefault="007C76E4" w:rsidP="007C76E4">
      <w:pPr>
        <w:jc w:val="center"/>
        <w:rPr>
          <w:rFonts w:ascii="Times New Roman" w:hAnsi="Times New Roman" w:cs="Times New Roman"/>
          <w:sz w:val="24"/>
          <w:szCs w:val="24"/>
        </w:rPr>
      </w:pPr>
      <w:r w:rsidRPr="004B3BD6">
        <w:rPr>
          <w:rFonts w:ascii="Times New Roman" w:hAnsi="Times New Roman" w:cs="Times New Roman"/>
          <w:sz w:val="24"/>
          <w:szCs w:val="24"/>
        </w:rPr>
        <w:t>ENGL 1102: English Composition 2</w:t>
      </w:r>
    </w:p>
    <w:p w14:paraId="7F02C335" w14:textId="77777777" w:rsidR="007C76E4" w:rsidRPr="004B3BD6" w:rsidRDefault="007C76E4" w:rsidP="007C76E4">
      <w:pPr>
        <w:jc w:val="center"/>
        <w:rPr>
          <w:rFonts w:ascii="Times New Roman" w:hAnsi="Times New Roman" w:cs="Times New Roman"/>
          <w:sz w:val="24"/>
          <w:szCs w:val="24"/>
        </w:rPr>
      </w:pPr>
      <w:r w:rsidRPr="004B3BD6">
        <w:rPr>
          <w:rFonts w:ascii="Times New Roman" w:hAnsi="Times New Roman" w:cs="Times New Roman"/>
          <w:sz w:val="24"/>
          <w:szCs w:val="24"/>
        </w:rPr>
        <w:t>Jason Kahler</w:t>
      </w:r>
    </w:p>
    <w:p w14:paraId="2807C490" w14:textId="376C9D0F" w:rsidR="007C76E4" w:rsidRDefault="007C76E4" w:rsidP="007C76E4">
      <w:pPr>
        <w:jc w:val="center"/>
        <w:rPr>
          <w:rFonts w:ascii="Times New Roman" w:hAnsi="Times New Roman" w:cs="Times New Roman"/>
          <w:sz w:val="24"/>
          <w:szCs w:val="24"/>
          <w:lang w:val="en-US"/>
        </w:rPr>
      </w:pPr>
      <w:r w:rsidRPr="004B3BD6">
        <w:rPr>
          <w:rFonts w:ascii="Times New Roman" w:hAnsi="Times New Roman" w:cs="Times New Roman"/>
          <w:sz w:val="24"/>
          <w:szCs w:val="24"/>
          <w:lang w:val="en-US"/>
        </w:rPr>
        <w:t>July 1</w:t>
      </w:r>
      <w:r>
        <w:rPr>
          <w:rFonts w:ascii="Times New Roman" w:hAnsi="Times New Roman" w:cs="Times New Roman"/>
          <w:sz w:val="24"/>
          <w:szCs w:val="24"/>
          <w:lang w:val="en-US"/>
        </w:rPr>
        <w:t>8</w:t>
      </w:r>
      <w:r w:rsidRPr="004B3BD6">
        <w:rPr>
          <w:rFonts w:ascii="Times New Roman" w:hAnsi="Times New Roman" w:cs="Times New Roman"/>
          <w:sz w:val="24"/>
          <w:szCs w:val="24"/>
          <w:lang w:val="en-US"/>
        </w:rPr>
        <w:t>, 2024</w:t>
      </w:r>
    </w:p>
    <w:p w14:paraId="22AEA399" w14:textId="77777777" w:rsidR="007C76E4" w:rsidRDefault="007C76E4" w:rsidP="007C76E4">
      <w:pPr>
        <w:jc w:val="center"/>
        <w:rPr>
          <w:rFonts w:ascii="Times New Roman" w:hAnsi="Times New Roman" w:cs="Times New Roman"/>
          <w:sz w:val="24"/>
          <w:szCs w:val="24"/>
          <w:lang w:val="en-US"/>
        </w:rPr>
      </w:pPr>
    </w:p>
    <w:p w14:paraId="0C2CB1A5" w14:textId="77777777" w:rsidR="007C76E4" w:rsidRDefault="007C76E4" w:rsidP="007C76E4">
      <w:pPr>
        <w:jc w:val="center"/>
        <w:rPr>
          <w:rFonts w:ascii="Times New Roman" w:hAnsi="Times New Roman" w:cs="Times New Roman"/>
          <w:sz w:val="24"/>
          <w:szCs w:val="24"/>
          <w:lang w:val="en-US"/>
        </w:rPr>
      </w:pPr>
    </w:p>
    <w:p w14:paraId="221A92E2" w14:textId="77777777" w:rsidR="007C76E4" w:rsidRDefault="007C76E4" w:rsidP="007C76E4">
      <w:pPr>
        <w:jc w:val="center"/>
        <w:rPr>
          <w:rFonts w:ascii="Times New Roman" w:hAnsi="Times New Roman" w:cs="Times New Roman"/>
          <w:sz w:val="24"/>
          <w:szCs w:val="24"/>
          <w:lang w:val="en-US"/>
        </w:rPr>
      </w:pPr>
    </w:p>
    <w:p w14:paraId="38AD1DC1" w14:textId="77777777" w:rsidR="007C76E4" w:rsidRDefault="007C76E4" w:rsidP="007C76E4">
      <w:pPr>
        <w:jc w:val="center"/>
        <w:rPr>
          <w:rFonts w:ascii="Times New Roman" w:hAnsi="Times New Roman" w:cs="Times New Roman"/>
          <w:sz w:val="24"/>
          <w:szCs w:val="24"/>
          <w:lang w:val="en-US"/>
        </w:rPr>
      </w:pPr>
    </w:p>
    <w:p w14:paraId="1EB42F85" w14:textId="77777777" w:rsidR="007C76E4" w:rsidRDefault="007C76E4" w:rsidP="007C76E4">
      <w:pPr>
        <w:jc w:val="center"/>
        <w:rPr>
          <w:rFonts w:ascii="Times New Roman" w:hAnsi="Times New Roman" w:cs="Times New Roman"/>
          <w:sz w:val="24"/>
          <w:szCs w:val="24"/>
          <w:lang w:val="en-US"/>
        </w:rPr>
      </w:pPr>
    </w:p>
    <w:p w14:paraId="0505B428" w14:textId="77777777" w:rsidR="007C76E4" w:rsidRDefault="007C76E4" w:rsidP="007C76E4">
      <w:pPr>
        <w:jc w:val="center"/>
        <w:rPr>
          <w:rFonts w:ascii="Times New Roman" w:hAnsi="Times New Roman" w:cs="Times New Roman"/>
          <w:sz w:val="24"/>
          <w:szCs w:val="24"/>
          <w:lang w:val="en-US"/>
        </w:rPr>
      </w:pPr>
    </w:p>
    <w:p w14:paraId="2CE10E08" w14:textId="77777777" w:rsidR="007C76E4" w:rsidRDefault="007C76E4" w:rsidP="007C76E4">
      <w:pPr>
        <w:jc w:val="center"/>
        <w:rPr>
          <w:rFonts w:ascii="Times New Roman" w:hAnsi="Times New Roman" w:cs="Times New Roman"/>
          <w:sz w:val="24"/>
          <w:szCs w:val="24"/>
          <w:lang w:val="en-US"/>
        </w:rPr>
      </w:pPr>
    </w:p>
    <w:p w14:paraId="26FCA9CE" w14:textId="77777777" w:rsidR="007C76E4" w:rsidRDefault="007C76E4" w:rsidP="007C76E4">
      <w:pPr>
        <w:jc w:val="center"/>
        <w:rPr>
          <w:rFonts w:ascii="Times New Roman" w:hAnsi="Times New Roman" w:cs="Times New Roman"/>
          <w:sz w:val="24"/>
          <w:szCs w:val="24"/>
          <w:lang w:val="en-US"/>
        </w:rPr>
      </w:pPr>
    </w:p>
    <w:p w14:paraId="28F7BF09" w14:textId="77777777" w:rsidR="007C76E4" w:rsidRPr="0028198A" w:rsidRDefault="007C76E4" w:rsidP="007C76E4">
      <w:pPr>
        <w:jc w:val="center"/>
        <w:rPr>
          <w:rFonts w:ascii="Times New Roman" w:hAnsi="Times New Roman" w:cs="Times New Roman"/>
          <w:b/>
          <w:bCs/>
          <w:sz w:val="24"/>
          <w:szCs w:val="24"/>
          <w:lang w:val="en-US"/>
        </w:rPr>
      </w:pPr>
      <w:r w:rsidRPr="0028198A">
        <w:rPr>
          <w:rFonts w:ascii="Times New Roman" w:hAnsi="Times New Roman" w:cs="Times New Roman"/>
          <w:b/>
          <w:bCs/>
          <w:sz w:val="24"/>
          <w:szCs w:val="24"/>
          <w:lang w:val="en-US"/>
        </w:rPr>
        <w:lastRenderedPageBreak/>
        <w:t xml:space="preserve">Gamified Learning for Generation Alpha </w:t>
      </w:r>
    </w:p>
    <w:p w14:paraId="2B546B78" w14:textId="6E1A10C4" w:rsidR="004A0DCE" w:rsidRPr="004A0DCE" w:rsidRDefault="004A0DCE" w:rsidP="0028198A">
      <w:pPr>
        <w:ind w:firstLine="720"/>
        <w:rPr>
          <w:rFonts w:ascii="Times New Roman" w:hAnsi="Times New Roman" w:cs="Times New Roman"/>
          <w:sz w:val="24"/>
          <w:szCs w:val="24"/>
          <w:lang w:val="en-US"/>
        </w:rPr>
      </w:pPr>
      <w:r w:rsidRPr="004A0DCE">
        <w:rPr>
          <w:rFonts w:ascii="Times New Roman" w:hAnsi="Times New Roman" w:cs="Times New Roman"/>
          <w:sz w:val="24"/>
          <w:szCs w:val="24"/>
          <w:lang w:val="en-US"/>
        </w:rPr>
        <w:t xml:space="preserve">Gamified learning has </w:t>
      </w:r>
      <w:proofErr w:type="gramStart"/>
      <w:r w:rsidRPr="004A0DCE">
        <w:rPr>
          <w:rFonts w:ascii="Times New Roman" w:hAnsi="Times New Roman" w:cs="Times New Roman"/>
          <w:sz w:val="24"/>
          <w:szCs w:val="24"/>
          <w:lang w:val="en-US"/>
        </w:rPr>
        <w:t>emerged</w:t>
      </w:r>
      <w:proofErr w:type="gramEnd"/>
      <w:r w:rsidRPr="004A0DCE">
        <w:rPr>
          <w:rFonts w:ascii="Times New Roman" w:hAnsi="Times New Roman" w:cs="Times New Roman"/>
          <w:sz w:val="24"/>
          <w:szCs w:val="24"/>
          <w:lang w:val="en-US"/>
        </w:rPr>
        <w:t xml:space="preserve"> as a significant innovation in the educational sector, especially for Generation Alpha, which refers to children born from 2010 onwards. This generation is characterized by their innate </w:t>
      </w:r>
      <w:proofErr w:type="gramStart"/>
      <w:r w:rsidRPr="004A0DCE">
        <w:rPr>
          <w:rFonts w:ascii="Times New Roman" w:hAnsi="Times New Roman" w:cs="Times New Roman"/>
          <w:sz w:val="24"/>
          <w:szCs w:val="24"/>
          <w:lang w:val="en-US"/>
        </w:rPr>
        <w:t>proficiency</w:t>
      </w:r>
      <w:proofErr w:type="gramEnd"/>
      <w:r w:rsidRPr="004A0DCE">
        <w:rPr>
          <w:rFonts w:ascii="Times New Roman" w:hAnsi="Times New Roman" w:cs="Times New Roman"/>
          <w:sz w:val="24"/>
          <w:szCs w:val="24"/>
          <w:lang w:val="en-US"/>
        </w:rPr>
        <w:t xml:space="preserve"> with digital technology, making traditional teaching methods less effective in engaging them. Gamification, which involves integrating game elements into educational activities, is gaining traction as a method to enhance learning experiences and outcomes. Research by Chen (2023) highlights the implementation of a partially flipped classroom enhanced by gamification, which reveals diverse learning styles and preferences among students. This study found that the combination of flipped classroom methods with gamification can engage students more deeply by addressing their specific learning needs and preferences (Chen, 2023). Additionally, Fernando and Premadasa (2024) underscore that Generation Alpha students benefit significantly from gamified learning environments. Their research points out that gamification not only makes learning more enjoyable but also enhances cognitive skills, promotes engagement, and supports the development of critical thinking and problem-solving abilities (Fernando &amp; Premadasa, 2024).</w:t>
      </w:r>
      <w:r w:rsidR="0028198A">
        <w:rPr>
          <w:rFonts w:ascii="Times New Roman" w:hAnsi="Times New Roman" w:cs="Times New Roman"/>
          <w:sz w:val="24"/>
          <w:szCs w:val="24"/>
          <w:lang w:val="en-US"/>
        </w:rPr>
        <w:t xml:space="preserve"> </w:t>
      </w:r>
      <w:r w:rsidRPr="004A0DCE">
        <w:rPr>
          <w:rFonts w:ascii="Times New Roman" w:hAnsi="Times New Roman" w:cs="Times New Roman"/>
          <w:sz w:val="24"/>
          <w:szCs w:val="24"/>
          <w:lang w:val="en-US"/>
        </w:rPr>
        <w:t xml:space="preserve">However, the application of gamification in education is not without its challenges. Huang and Hew (2021) note that while gamification can boost student motivation and engagement, its success </w:t>
      </w:r>
      <w:proofErr w:type="gramStart"/>
      <w:r w:rsidRPr="004A0DCE">
        <w:rPr>
          <w:rFonts w:ascii="Times New Roman" w:hAnsi="Times New Roman" w:cs="Times New Roman"/>
          <w:sz w:val="24"/>
          <w:szCs w:val="24"/>
          <w:lang w:val="en-US"/>
        </w:rPr>
        <w:t>largely depends</w:t>
      </w:r>
      <w:proofErr w:type="gramEnd"/>
      <w:r w:rsidRPr="004A0DCE">
        <w:rPr>
          <w:rFonts w:ascii="Times New Roman" w:hAnsi="Times New Roman" w:cs="Times New Roman"/>
          <w:sz w:val="24"/>
          <w:szCs w:val="24"/>
          <w:lang w:val="en-US"/>
        </w:rPr>
        <w:t xml:space="preserve"> on how well the game elements are integrated into the curriculum. Poorly designed gamified experiences can lead to decreased motivation and even hinder learning. For example, the use of badges and leaderboards, common gamification tools, can sometimes demotivate students who do not perform well, creating a negative impact on their self-esteem and willingness to </w:t>
      </w:r>
      <w:proofErr w:type="gramStart"/>
      <w:r w:rsidRPr="004A0DCE">
        <w:rPr>
          <w:rFonts w:ascii="Times New Roman" w:hAnsi="Times New Roman" w:cs="Times New Roman"/>
          <w:sz w:val="24"/>
          <w:szCs w:val="24"/>
          <w:lang w:val="en-US"/>
        </w:rPr>
        <w:t>participate</w:t>
      </w:r>
      <w:proofErr w:type="gramEnd"/>
      <w:r w:rsidRPr="004A0DCE">
        <w:rPr>
          <w:rFonts w:ascii="Times New Roman" w:hAnsi="Times New Roman" w:cs="Times New Roman"/>
          <w:sz w:val="24"/>
          <w:szCs w:val="24"/>
          <w:lang w:val="en-US"/>
        </w:rPr>
        <w:t xml:space="preserve"> (Huang &amp; Hew, 2021). This emphasizes the need for thoughtful and student-centered design in gamified learning environments to ensure all students benefit.</w:t>
      </w:r>
      <w:r w:rsidR="0028198A">
        <w:rPr>
          <w:rFonts w:ascii="Times New Roman" w:hAnsi="Times New Roman" w:cs="Times New Roman"/>
          <w:sz w:val="24"/>
          <w:szCs w:val="24"/>
          <w:lang w:val="en-US"/>
        </w:rPr>
        <w:t xml:space="preserve"> </w:t>
      </w:r>
      <w:r w:rsidRPr="004A0DCE">
        <w:rPr>
          <w:rFonts w:ascii="Times New Roman" w:hAnsi="Times New Roman" w:cs="Times New Roman"/>
          <w:sz w:val="24"/>
          <w:szCs w:val="24"/>
          <w:lang w:val="en-US"/>
        </w:rPr>
        <w:t xml:space="preserve">In practical terms, Singh (2022) provides a first-person account of gamifying a classroom, detailing the tangible </w:t>
      </w:r>
      <w:r w:rsidRPr="004A0DCE">
        <w:rPr>
          <w:rFonts w:ascii="Times New Roman" w:hAnsi="Times New Roman" w:cs="Times New Roman"/>
          <w:sz w:val="24"/>
          <w:szCs w:val="24"/>
          <w:lang w:val="en-US"/>
        </w:rPr>
        <w:lastRenderedPageBreak/>
        <w:t xml:space="preserve">benefits and obstacles </w:t>
      </w:r>
      <w:proofErr w:type="gramStart"/>
      <w:r w:rsidRPr="004A0DCE">
        <w:rPr>
          <w:rFonts w:ascii="Times New Roman" w:hAnsi="Times New Roman" w:cs="Times New Roman"/>
          <w:sz w:val="24"/>
          <w:szCs w:val="24"/>
          <w:lang w:val="en-US"/>
        </w:rPr>
        <w:t>encountered</w:t>
      </w:r>
      <w:proofErr w:type="gramEnd"/>
      <w:r w:rsidRPr="004A0DCE">
        <w:rPr>
          <w:rFonts w:ascii="Times New Roman" w:hAnsi="Times New Roman" w:cs="Times New Roman"/>
          <w:sz w:val="24"/>
          <w:szCs w:val="24"/>
          <w:lang w:val="en-US"/>
        </w:rPr>
        <w:t xml:space="preserve">. Singh emphasizes that gamification requires a careful balance of educational content and game mechanics to </w:t>
      </w:r>
      <w:proofErr w:type="gramStart"/>
      <w:r w:rsidRPr="004A0DCE">
        <w:rPr>
          <w:rFonts w:ascii="Times New Roman" w:hAnsi="Times New Roman" w:cs="Times New Roman"/>
          <w:sz w:val="24"/>
          <w:szCs w:val="24"/>
          <w:lang w:val="en-US"/>
        </w:rPr>
        <w:t>maintain</w:t>
      </w:r>
      <w:proofErr w:type="gramEnd"/>
      <w:r w:rsidRPr="004A0DCE">
        <w:rPr>
          <w:rFonts w:ascii="Times New Roman" w:hAnsi="Times New Roman" w:cs="Times New Roman"/>
          <w:sz w:val="24"/>
          <w:szCs w:val="24"/>
          <w:lang w:val="en-US"/>
        </w:rPr>
        <w:t xml:space="preserve"> student interest without compromising educational value. The author's experience </w:t>
      </w:r>
      <w:proofErr w:type="gramStart"/>
      <w:r w:rsidRPr="004A0DCE">
        <w:rPr>
          <w:rFonts w:ascii="Times New Roman" w:hAnsi="Times New Roman" w:cs="Times New Roman"/>
          <w:sz w:val="24"/>
          <w:szCs w:val="24"/>
          <w:lang w:val="en-US"/>
        </w:rPr>
        <w:t>demonstrates</w:t>
      </w:r>
      <w:proofErr w:type="gramEnd"/>
      <w:r w:rsidRPr="004A0DCE">
        <w:rPr>
          <w:rFonts w:ascii="Times New Roman" w:hAnsi="Times New Roman" w:cs="Times New Roman"/>
          <w:sz w:val="24"/>
          <w:szCs w:val="24"/>
          <w:lang w:val="en-US"/>
        </w:rPr>
        <w:t xml:space="preserve"> that when done correctly, gamification can transform a classroom into a dynamic and interactive learning environment where students are more eager to participate and less afraid of making mistakes, which fosters a healthier learning atmosphere (Singh, 2022).</w:t>
      </w:r>
      <w:r w:rsidR="0028198A">
        <w:rPr>
          <w:rFonts w:ascii="Times New Roman" w:hAnsi="Times New Roman" w:cs="Times New Roman"/>
          <w:sz w:val="24"/>
          <w:szCs w:val="24"/>
          <w:lang w:val="en-US"/>
        </w:rPr>
        <w:t xml:space="preserve"> </w:t>
      </w:r>
      <w:r w:rsidRPr="004A0DCE">
        <w:rPr>
          <w:rFonts w:ascii="Times New Roman" w:hAnsi="Times New Roman" w:cs="Times New Roman"/>
          <w:sz w:val="24"/>
          <w:szCs w:val="24"/>
          <w:lang w:val="en-US"/>
        </w:rPr>
        <w:t xml:space="preserve">Critically, while the advantages of gamified learning are clear, it is crucial to consider the broader educational context and the diverse needs of students. The integration of gamified elements must </w:t>
      </w:r>
      <w:proofErr w:type="gramStart"/>
      <w:r w:rsidRPr="004A0DCE">
        <w:rPr>
          <w:rFonts w:ascii="Times New Roman" w:hAnsi="Times New Roman" w:cs="Times New Roman"/>
          <w:sz w:val="24"/>
          <w:szCs w:val="24"/>
          <w:lang w:val="en-US"/>
        </w:rPr>
        <w:t>be aligned</w:t>
      </w:r>
      <w:proofErr w:type="gramEnd"/>
      <w:r w:rsidRPr="004A0DCE">
        <w:rPr>
          <w:rFonts w:ascii="Times New Roman" w:hAnsi="Times New Roman" w:cs="Times New Roman"/>
          <w:sz w:val="24"/>
          <w:szCs w:val="24"/>
          <w:lang w:val="en-US"/>
        </w:rPr>
        <w:t xml:space="preserve"> with educational goals and tailored to support various learning styles. As Chen (2023) illustrates, a one-size-fits-all approach is ineffective. Instead, educators should employ a range of gamified strategies to cater to different learning preferences, from engaged achievers to </w:t>
      </w:r>
      <w:proofErr w:type="gramStart"/>
      <w:r w:rsidRPr="004A0DCE">
        <w:rPr>
          <w:rFonts w:ascii="Times New Roman" w:hAnsi="Times New Roman" w:cs="Times New Roman"/>
          <w:sz w:val="24"/>
          <w:szCs w:val="24"/>
          <w:lang w:val="en-US"/>
        </w:rPr>
        <w:t>self-motivated</w:t>
      </w:r>
      <w:proofErr w:type="gramEnd"/>
      <w:r w:rsidRPr="004A0DCE">
        <w:rPr>
          <w:rFonts w:ascii="Times New Roman" w:hAnsi="Times New Roman" w:cs="Times New Roman"/>
          <w:sz w:val="24"/>
          <w:szCs w:val="24"/>
          <w:lang w:val="en-US"/>
        </w:rPr>
        <w:t xml:space="preserve"> explorers and interactive designers. This tailored approach not only enhances learning outcomes but also helps in addressing the unique challenges posed by teaching Generation Alpha.</w:t>
      </w:r>
      <w:r w:rsidR="0028198A">
        <w:rPr>
          <w:rFonts w:ascii="Times New Roman" w:hAnsi="Times New Roman" w:cs="Times New Roman"/>
          <w:sz w:val="24"/>
          <w:szCs w:val="24"/>
          <w:lang w:val="en-US"/>
        </w:rPr>
        <w:t xml:space="preserve"> </w:t>
      </w:r>
      <w:r w:rsidRPr="004A0DCE">
        <w:rPr>
          <w:rFonts w:ascii="Times New Roman" w:hAnsi="Times New Roman" w:cs="Times New Roman"/>
          <w:sz w:val="24"/>
          <w:szCs w:val="24"/>
          <w:lang w:val="en-US"/>
        </w:rPr>
        <w:t xml:space="preserve">Furthermore, the impact of gamification on educational equity cannot </w:t>
      </w:r>
      <w:proofErr w:type="gramStart"/>
      <w:r w:rsidRPr="004A0DCE">
        <w:rPr>
          <w:rFonts w:ascii="Times New Roman" w:hAnsi="Times New Roman" w:cs="Times New Roman"/>
          <w:sz w:val="24"/>
          <w:szCs w:val="24"/>
          <w:lang w:val="en-US"/>
        </w:rPr>
        <w:t>be ignored</w:t>
      </w:r>
      <w:proofErr w:type="gramEnd"/>
      <w:r w:rsidRPr="004A0DCE">
        <w:rPr>
          <w:rFonts w:ascii="Times New Roman" w:hAnsi="Times New Roman" w:cs="Times New Roman"/>
          <w:sz w:val="24"/>
          <w:szCs w:val="24"/>
          <w:lang w:val="en-US"/>
        </w:rPr>
        <w:t xml:space="preserve">. As Fernando and Premadasa (2024) discuss, while gamified learning environments can level the playing field by making education more accessible and engaging, they can also </w:t>
      </w:r>
      <w:proofErr w:type="gramStart"/>
      <w:r w:rsidRPr="004A0DCE">
        <w:rPr>
          <w:rFonts w:ascii="Times New Roman" w:hAnsi="Times New Roman" w:cs="Times New Roman"/>
          <w:sz w:val="24"/>
          <w:szCs w:val="24"/>
          <w:lang w:val="en-US"/>
        </w:rPr>
        <w:t>exacerbate</w:t>
      </w:r>
      <w:proofErr w:type="gramEnd"/>
      <w:r w:rsidRPr="004A0DCE">
        <w:rPr>
          <w:rFonts w:ascii="Times New Roman" w:hAnsi="Times New Roman" w:cs="Times New Roman"/>
          <w:sz w:val="24"/>
          <w:szCs w:val="24"/>
          <w:lang w:val="en-US"/>
        </w:rPr>
        <w:t xml:space="preserve"> existing disparities if not implemented thoughtfully. Access to technology, varying levels of digital literacy, and differing socioeconomic backgrounds can influence how students interact with and benefit from gamified learning. Therefore, it is essential for educational institutions to ensure that all students have equal opportunities to engage with these innovative learning methods.</w:t>
      </w:r>
      <w:r w:rsidR="0028198A">
        <w:rPr>
          <w:rFonts w:ascii="Times New Roman" w:hAnsi="Times New Roman" w:cs="Times New Roman"/>
          <w:sz w:val="24"/>
          <w:szCs w:val="24"/>
          <w:lang w:val="en-US"/>
        </w:rPr>
        <w:t xml:space="preserve"> </w:t>
      </w:r>
      <w:r w:rsidRPr="004A0DCE">
        <w:rPr>
          <w:rFonts w:ascii="Times New Roman" w:hAnsi="Times New Roman" w:cs="Times New Roman"/>
          <w:sz w:val="24"/>
          <w:szCs w:val="24"/>
          <w:lang w:val="en-US"/>
        </w:rPr>
        <w:t xml:space="preserve">In conclusion, the integration of gamification in education presents a promising avenue for engaging Generation Alpha, offering opportunities to enhance motivation, engagement, and learning outcomes. However, it requires careful design and implementation to address the diverse needs of students and to avoid potential pitfalls that could undermine its </w:t>
      </w:r>
      <w:r w:rsidRPr="004A0DCE">
        <w:rPr>
          <w:rFonts w:ascii="Times New Roman" w:hAnsi="Times New Roman" w:cs="Times New Roman"/>
          <w:sz w:val="24"/>
          <w:szCs w:val="24"/>
          <w:lang w:val="en-US"/>
        </w:rPr>
        <w:lastRenderedPageBreak/>
        <w:t xml:space="preserve">effectiveness. As the educational landscape continues to evolve, ongoing research and practical insights from educators like Singh (2022) will be crucial in refining gamified learning strategies to ensure they provide </w:t>
      </w:r>
      <w:proofErr w:type="gramStart"/>
      <w:r w:rsidRPr="004A0DCE">
        <w:rPr>
          <w:rFonts w:ascii="Times New Roman" w:hAnsi="Times New Roman" w:cs="Times New Roman"/>
          <w:sz w:val="24"/>
          <w:szCs w:val="24"/>
          <w:lang w:val="en-US"/>
        </w:rPr>
        <w:t>equitable</w:t>
      </w:r>
      <w:proofErr w:type="gramEnd"/>
      <w:r w:rsidRPr="004A0DCE">
        <w:rPr>
          <w:rFonts w:ascii="Times New Roman" w:hAnsi="Times New Roman" w:cs="Times New Roman"/>
          <w:sz w:val="24"/>
          <w:szCs w:val="24"/>
          <w:lang w:val="en-US"/>
        </w:rPr>
        <w:t xml:space="preserve"> and effective educational experiences for all students.</w:t>
      </w:r>
    </w:p>
    <w:p w14:paraId="317A25B2" w14:textId="77777777" w:rsidR="004A0DCE" w:rsidRDefault="004A0DCE" w:rsidP="004A0DCE">
      <w:pPr>
        <w:rPr>
          <w:rFonts w:ascii="Times New Roman" w:hAnsi="Times New Roman" w:cs="Times New Roman"/>
          <w:sz w:val="24"/>
          <w:szCs w:val="24"/>
          <w:lang w:val="en-US"/>
        </w:rPr>
      </w:pPr>
    </w:p>
    <w:p w14:paraId="1E9E30FB" w14:textId="77777777" w:rsidR="0028198A" w:rsidRDefault="0028198A" w:rsidP="004A0DCE">
      <w:pPr>
        <w:rPr>
          <w:rFonts w:ascii="Times New Roman" w:hAnsi="Times New Roman" w:cs="Times New Roman"/>
          <w:sz w:val="24"/>
          <w:szCs w:val="24"/>
          <w:lang w:val="en-US"/>
        </w:rPr>
      </w:pPr>
    </w:p>
    <w:p w14:paraId="1AF90227" w14:textId="77777777" w:rsidR="0028198A" w:rsidRDefault="0028198A" w:rsidP="004A0DCE">
      <w:pPr>
        <w:rPr>
          <w:rFonts w:ascii="Times New Roman" w:hAnsi="Times New Roman" w:cs="Times New Roman"/>
          <w:sz w:val="24"/>
          <w:szCs w:val="24"/>
          <w:lang w:val="en-US"/>
        </w:rPr>
      </w:pPr>
    </w:p>
    <w:p w14:paraId="33699DA6" w14:textId="77777777" w:rsidR="0028198A" w:rsidRDefault="0028198A" w:rsidP="004A0DCE">
      <w:pPr>
        <w:rPr>
          <w:rFonts w:ascii="Times New Roman" w:hAnsi="Times New Roman" w:cs="Times New Roman"/>
          <w:sz w:val="24"/>
          <w:szCs w:val="24"/>
          <w:lang w:val="en-US"/>
        </w:rPr>
      </w:pPr>
    </w:p>
    <w:p w14:paraId="0A57FE34" w14:textId="77777777" w:rsidR="0028198A" w:rsidRDefault="0028198A" w:rsidP="004A0DCE">
      <w:pPr>
        <w:rPr>
          <w:rFonts w:ascii="Times New Roman" w:hAnsi="Times New Roman" w:cs="Times New Roman"/>
          <w:sz w:val="24"/>
          <w:szCs w:val="24"/>
          <w:lang w:val="en-US"/>
        </w:rPr>
      </w:pPr>
    </w:p>
    <w:p w14:paraId="15F98383" w14:textId="77777777" w:rsidR="0028198A" w:rsidRDefault="0028198A" w:rsidP="004A0DCE">
      <w:pPr>
        <w:rPr>
          <w:rFonts w:ascii="Times New Roman" w:hAnsi="Times New Roman" w:cs="Times New Roman"/>
          <w:sz w:val="24"/>
          <w:szCs w:val="24"/>
          <w:lang w:val="en-US"/>
        </w:rPr>
      </w:pPr>
    </w:p>
    <w:p w14:paraId="74E0274B" w14:textId="77777777" w:rsidR="0028198A" w:rsidRDefault="0028198A" w:rsidP="004A0DCE">
      <w:pPr>
        <w:rPr>
          <w:rFonts w:ascii="Times New Roman" w:hAnsi="Times New Roman" w:cs="Times New Roman"/>
          <w:sz w:val="24"/>
          <w:szCs w:val="24"/>
          <w:lang w:val="en-US"/>
        </w:rPr>
      </w:pPr>
    </w:p>
    <w:p w14:paraId="66AF8AEB" w14:textId="77777777" w:rsidR="0028198A" w:rsidRDefault="0028198A" w:rsidP="004A0DCE">
      <w:pPr>
        <w:rPr>
          <w:rFonts w:ascii="Times New Roman" w:hAnsi="Times New Roman" w:cs="Times New Roman"/>
          <w:sz w:val="24"/>
          <w:szCs w:val="24"/>
          <w:lang w:val="en-US"/>
        </w:rPr>
      </w:pPr>
    </w:p>
    <w:p w14:paraId="4EDA385D" w14:textId="77777777" w:rsidR="0028198A" w:rsidRDefault="0028198A" w:rsidP="004A0DCE">
      <w:pPr>
        <w:rPr>
          <w:rFonts w:ascii="Times New Roman" w:hAnsi="Times New Roman" w:cs="Times New Roman"/>
          <w:sz w:val="24"/>
          <w:szCs w:val="24"/>
          <w:lang w:val="en-US"/>
        </w:rPr>
      </w:pPr>
    </w:p>
    <w:p w14:paraId="3B10410A" w14:textId="77777777" w:rsidR="0028198A" w:rsidRDefault="0028198A" w:rsidP="004A0DCE">
      <w:pPr>
        <w:rPr>
          <w:rFonts w:ascii="Times New Roman" w:hAnsi="Times New Roman" w:cs="Times New Roman"/>
          <w:sz w:val="24"/>
          <w:szCs w:val="24"/>
          <w:lang w:val="en-US"/>
        </w:rPr>
      </w:pPr>
    </w:p>
    <w:p w14:paraId="6CAAAFE4" w14:textId="77777777" w:rsidR="0028198A" w:rsidRDefault="0028198A" w:rsidP="004A0DCE">
      <w:pPr>
        <w:rPr>
          <w:rFonts w:ascii="Times New Roman" w:hAnsi="Times New Roman" w:cs="Times New Roman"/>
          <w:sz w:val="24"/>
          <w:szCs w:val="24"/>
          <w:lang w:val="en-US"/>
        </w:rPr>
      </w:pPr>
    </w:p>
    <w:p w14:paraId="5CC14497" w14:textId="77777777" w:rsidR="0028198A" w:rsidRDefault="0028198A" w:rsidP="004A0DCE">
      <w:pPr>
        <w:rPr>
          <w:rFonts w:ascii="Times New Roman" w:hAnsi="Times New Roman" w:cs="Times New Roman"/>
          <w:sz w:val="24"/>
          <w:szCs w:val="24"/>
          <w:lang w:val="en-US"/>
        </w:rPr>
      </w:pPr>
    </w:p>
    <w:p w14:paraId="7BCE20AD" w14:textId="77777777" w:rsidR="0028198A" w:rsidRDefault="0028198A" w:rsidP="004A0DCE">
      <w:pPr>
        <w:rPr>
          <w:rFonts w:ascii="Times New Roman" w:hAnsi="Times New Roman" w:cs="Times New Roman"/>
          <w:sz w:val="24"/>
          <w:szCs w:val="24"/>
          <w:lang w:val="en-US"/>
        </w:rPr>
      </w:pPr>
    </w:p>
    <w:p w14:paraId="7FE993B6" w14:textId="77777777" w:rsidR="0028198A" w:rsidRDefault="0028198A" w:rsidP="004A0DCE">
      <w:pPr>
        <w:rPr>
          <w:rFonts w:ascii="Times New Roman" w:hAnsi="Times New Roman" w:cs="Times New Roman"/>
          <w:sz w:val="24"/>
          <w:szCs w:val="24"/>
          <w:lang w:val="en-US"/>
        </w:rPr>
      </w:pPr>
    </w:p>
    <w:p w14:paraId="7E01AC04" w14:textId="77777777" w:rsidR="0028198A" w:rsidRPr="004B3BD6" w:rsidRDefault="0028198A" w:rsidP="004A0DCE">
      <w:pPr>
        <w:rPr>
          <w:rFonts w:ascii="Times New Roman" w:hAnsi="Times New Roman" w:cs="Times New Roman"/>
          <w:sz w:val="24"/>
          <w:szCs w:val="24"/>
          <w:lang w:val="en-US"/>
        </w:rPr>
      </w:pPr>
    </w:p>
    <w:p w14:paraId="1F639C59" w14:textId="77777777" w:rsidR="007C76E4" w:rsidRDefault="007C76E4" w:rsidP="0028198A">
      <w:pPr>
        <w:spacing w:line="240" w:lineRule="auto"/>
        <w:ind w:left="0"/>
        <w:jc w:val="center"/>
        <w:rPr>
          <w:rFonts w:ascii="Times New Roman" w:hAnsi="Times New Roman" w:cs="Times New Roman"/>
          <w:sz w:val="24"/>
          <w:szCs w:val="24"/>
        </w:rPr>
      </w:pPr>
      <w:r w:rsidRPr="007C76E4">
        <w:rPr>
          <w:rFonts w:ascii="Times New Roman" w:hAnsi="Times New Roman" w:cs="Times New Roman"/>
          <w:sz w:val="24"/>
          <w:szCs w:val="24"/>
        </w:rPr>
        <w:lastRenderedPageBreak/>
        <w:t>References</w:t>
      </w:r>
    </w:p>
    <w:p w14:paraId="1599F78F" w14:textId="72B1F02C" w:rsidR="004A0DCE" w:rsidRPr="0028198A" w:rsidRDefault="004A0DCE" w:rsidP="004A0DCE">
      <w:pPr>
        <w:pStyle w:val="NormalWeb"/>
        <w:shd w:val="clear" w:color="auto" w:fill="FFFFFF"/>
        <w:spacing w:before="0" w:beforeAutospacing="0" w:after="0" w:afterAutospacing="0" w:line="550" w:lineRule="atLeast"/>
        <w:ind w:left="720" w:right="75" w:hanging="720"/>
        <w:rPr>
          <w:color w:val="000000"/>
        </w:rPr>
      </w:pPr>
      <w:r w:rsidRPr="0028198A">
        <w:rPr>
          <w:color w:val="000000"/>
        </w:rPr>
        <w:t xml:space="preserve">Chen L. (2023). Students’ </w:t>
      </w:r>
      <w:r w:rsidR="0028198A" w:rsidRPr="0028198A">
        <w:rPr>
          <w:color w:val="000000"/>
        </w:rPr>
        <w:t>learning styles and preferences in a gamification-enhanced partially flipped classroom</w:t>
      </w:r>
      <w:r w:rsidRPr="0028198A">
        <w:rPr>
          <w:color w:val="000000"/>
        </w:rPr>
        <w:t>. </w:t>
      </w:r>
      <w:r w:rsidRPr="0028198A">
        <w:rPr>
          <w:rStyle w:val="Emphasis"/>
          <w:rFonts w:eastAsiaTheme="majorEastAsia"/>
          <w:color w:val="000000"/>
        </w:rPr>
        <w:t>Educational Technology &amp; Society</w:t>
      </w:r>
      <w:r w:rsidRPr="0028198A">
        <w:rPr>
          <w:color w:val="000000"/>
        </w:rPr>
        <w:t>, </w:t>
      </w:r>
      <w:r w:rsidRPr="0028198A">
        <w:rPr>
          <w:rStyle w:val="Emphasis"/>
          <w:rFonts w:eastAsiaTheme="majorEastAsia"/>
          <w:color w:val="000000"/>
        </w:rPr>
        <w:t>26</w:t>
      </w:r>
      <w:r w:rsidRPr="0028198A">
        <w:rPr>
          <w:color w:val="000000"/>
        </w:rPr>
        <w:t>(3), 141- 154. </w:t>
      </w:r>
      <w:r w:rsidRPr="0028198A">
        <w:rPr>
          <w:rFonts w:eastAsiaTheme="majorEastAsia"/>
          <w:color w:val="000000"/>
        </w:rPr>
        <w:t>https://www.jstor.org/stable/48734327</w:t>
      </w:r>
    </w:p>
    <w:p w14:paraId="4EBADFB9" w14:textId="75377D35" w:rsidR="004A0DCE" w:rsidRPr="0028198A" w:rsidRDefault="004A0DCE" w:rsidP="004A0DCE">
      <w:pPr>
        <w:pStyle w:val="NormalWeb"/>
        <w:shd w:val="clear" w:color="auto" w:fill="FFFFFF"/>
        <w:spacing w:before="0" w:beforeAutospacing="0" w:after="0" w:afterAutospacing="0" w:line="550" w:lineRule="atLeast"/>
        <w:ind w:left="720" w:right="75" w:hanging="720"/>
        <w:rPr>
          <w:color w:val="000000"/>
        </w:rPr>
      </w:pPr>
      <w:r w:rsidRPr="0028198A">
        <w:rPr>
          <w:color w:val="000000"/>
          <w:lang w:val="it-IT"/>
        </w:rPr>
        <w:t xml:space="preserve">Fernando, P. A., &amp; Premadasa, H. K. (2024). </w:t>
      </w:r>
      <w:r w:rsidRPr="0028198A">
        <w:rPr>
          <w:color w:val="000000"/>
        </w:rPr>
        <w:t>Use of gamification and game-based learning in educating Generation Alpha. </w:t>
      </w:r>
      <w:r w:rsidRPr="0028198A">
        <w:rPr>
          <w:rStyle w:val="Emphasis"/>
          <w:rFonts w:eastAsiaTheme="majorEastAsia"/>
          <w:color w:val="000000"/>
        </w:rPr>
        <w:t>Educational Technology &amp; Society</w:t>
      </w:r>
      <w:r w:rsidRPr="0028198A">
        <w:rPr>
          <w:color w:val="000000"/>
        </w:rPr>
        <w:t>, </w:t>
      </w:r>
      <w:r w:rsidRPr="0028198A">
        <w:rPr>
          <w:rStyle w:val="Emphasis"/>
          <w:rFonts w:eastAsiaTheme="majorEastAsia"/>
          <w:color w:val="000000"/>
        </w:rPr>
        <w:t>27</w:t>
      </w:r>
      <w:r w:rsidRPr="0028198A">
        <w:rPr>
          <w:color w:val="000000"/>
        </w:rPr>
        <w:t>(2), 114- 132. </w:t>
      </w:r>
      <w:r w:rsidRPr="0028198A">
        <w:rPr>
          <w:rFonts w:eastAsiaTheme="majorEastAsia"/>
          <w:color w:val="000000"/>
        </w:rPr>
        <w:t>https://www.jstor.org/stable/10.2307/48766166</w:t>
      </w:r>
    </w:p>
    <w:p w14:paraId="72258D94" w14:textId="0483BE10" w:rsidR="004A0DCE" w:rsidRPr="0028198A" w:rsidRDefault="004A0DCE" w:rsidP="004A0DCE">
      <w:pPr>
        <w:pStyle w:val="NormalWeb"/>
        <w:shd w:val="clear" w:color="auto" w:fill="FFFFFF"/>
        <w:spacing w:before="0" w:beforeAutospacing="0" w:after="0" w:afterAutospacing="0" w:line="550" w:lineRule="atLeast"/>
        <w:ind w:left="720" w:right="75" w:hanging="720"/>
        <w:rPr>
          <w:color w:val="000000"/>
        </w:rPr>
      </w:pPr>
      <w:r w:rsidRPr="0028198A">
        <w:rPr>
          <w:color w:val="000000"/>
        </w:rPr>
        <w:t xml:space="preserve">Huang B., &amp; Hew, K. F. (2021). Using </w:t>
      </w:r>
      <w:r w:rsidR="0028198A" w:rsidRPr="0028198A">
        <w:rPr>
          <w:color w:val="000000"/>
        </w:rPr>
        <w:t>gamification to design courses</w:t>
      </w:r>
      <w:r w:rsidRPr="0028198A">
        <w:rPr>
          <w:color w:val="000000"/>
        </w:rPr>
        <w:t>. </w:t>
      </w:r>
      <w:r w:rsidRPr="0028198A">
        <w:rPr>
          <w:rStyle w:val="Emphasis"/>
          <w:rFonts w:eastAsiaTheme="majorEastAsia"/>
          <w:color w:val="000000"/>
        </w:rPr>
        <w:t>Educational Technology &amp; Society</w:t>
      </w:r>
      <w:r w:rsidRPr="0028198A">
        <w:rPr>
          <w:color w:val="000000"/>
        </w:rPr>
        <w:t>, </w:t>
      </w:r>
      <w:r w:rsidRPr="0028198A">
        <w:rPr>
          <w:rStyle w:val="Emphasis"/>
          <w:rFonts w:eastAsiaTheme="majorEastAsia"/>
          <w:color w:val="000000"/>
        </w:rPr>
        <w:t>24</w:t>
      </w:r>
      <w:r w:rsidRPr="0028198A">
        <w:rPr>
          <w:color w:val="000000"/>
        </w:rPr>
        <w:t>(1), 44-63. </w:t>
      </w:r>
      <w:r w:rsidRPr="0028198A">
        <w:rPr>
          <w:rFonts w:eastAsiaTheme="majorEastAsia"/>
          <w:color w:val="000000"/>
        </w:rPr>
        <w:t>https://www.jstor.org/stable/10.2307/26977856</w:t>
      </w:r>
    </w:p>
    <w:p w14:paraId="25B54AA6" w14:textId="71EACD6E" w:rsidR="004A0DCE" w:rsidRPr="0028198A" w:rsidRDefault="004A0DCE" w:rsidP="004A0DCE">
      <w:pPr>
        <w:pStyle w:val="NormalWeb"/>
        <w:shd w:val="clear" w:color="auto" w:fill="FFFFFF"/>
        <w:spacing w:before="0" w:beforeAutospacing="0" w:after="0" w:afterAutospacing="0" w:line="550" w:lineRule="atLeast"/>
        <w:ind w:left="720" w:right="75" w:hanging="720"/>
        <w:rPr>
          <w:color w:val="000000"/>
          <w:lang w:val="it-IT"/>
        </w:rPr>
      </w:pPr>
      <w:r w:rsidRPr="0028198A">
        <w:rPr>
          <w:color w:val="000000"/>
        </w:rPr>
        <w:t>Singh, K. (2022). First person: How I gamified my classroom. </w:t>
      </w:r>
      <w:r w:rsidRPr="0028198A">
        <w:rPr>
          <w:rStyle w:val="Emphasis"/>
          <w:rFonts w:eastAsiaTheme="majorEastAsia"/>
          <w:color w:val="000000"/>
          <w:lang w:val="it-IT"/>
        </w:rPr>
        <w:t>Phi Delta Kappan</w:t>
      </w:r>
      <w:r w:rsidRPr="0028198A">
        <w:rPr>
          <w:color w:val="000000"/>
          <w:lang w:val="it-IT"/>
        </w:rPr>
        <w:t>, </w:t>
      </w:r>
      <w:r w:rsidRPr="0028198A">
        <w:rPr>
          <w:rStyle w:val="Emphasis"/>
          <w:rFonts w:eastAsiaTheme="majorEastAsia"/>
          <w:color w:val="000000"/>
          <w:lang w:val="it-IT"/>
        </w:rPr>
        <w:t>104</w:t>
      </w:r>
      <w:r w:rsidRPr="0028198A">
        <w:rPr>
          <w:color w:val="000000"/>
          <w:lang w:val="it-IT"/>
        </w:rPr>
        <w:t>(4), 54-56. </w:t>
      </w:r>
      <w:r w:rsidRPr="0028198A">
        <w:rPr>
          <w:rFonts w:eastAsiaTheme="majorEastAsia"/>
          <w:color w:val="000000"/>
          <w:lang w:val="it-IT"/>
        </w:rPr>
        <w:t>https://www.jstor.org/stable/10.2307/27185382</w:t>
      </w:r>
    </w:p>
    <w:p w14:paraId="74EFAF4A" w14:textId="77777777" w:rsidR="007C76E4" w:rsidRPr="004A0DCE" w:rsidRDefault="007C76E4" w:rsidP="007C76E4">
      <w:pPr>
        <w:jc w:val="center"/>
        <w:rPr>
          <w:rFonts w:ascii="Times New Roman" w:hAnsi="Times New Roman" w:cs="Times New Roman"/>
          <w:sz w:val="24"/>
          <w:szCs w:val="24"/>
          <w:lang w:val="it-IT"/>
        </w:rPr>
      </w:pPr>
    </w:p>
    <w:p w14:paraId="2A24AD3C" w14:textId="77777777" w:rsidR="007C76E4" w:rsidRPr="004A0DCE" w:rsidRDefault="007C76E4" w:rsidP="007C76E4">
      <w:pPr>
        <w:jc w:val="center"/>
        <w:rPr>
          <w:rFonts w:ascii="Times New Roman" w:hAnsi="Times New Roman" w:cs="Times New Roman"/>
          <w:sz w:val="24"/>
          <w:szCs w:val="24"/>
          <w:lang w:val="it-IT"/>
        </w:rPr>
      </w:pPr>
    </w:p>
    <w:p w14:paraId="5C169A4E" w14:textId="77777777" w:rsidR="007C76E4" w:rsidRPr="004A0DCE" w:rsidRDefault="007C76E4" w:rsidP="007C76E4">
      <w:pPr>
        <w:jc w:val="center"/>
        <w:rPr>
          <w:rFonts w:ascii="Times New Roman" w:hAnsi="Times New Roman" w:cs="Times New Roman"/>
          <w:sz w:val="24"/>
          <w:szCs w:val="24"/>
          <w:lang w:val="it-IT"/>
        </w:rPr>
      </w:pPr>
    </w:p>
    <w:p w14:paraId="6A2A956C" w14:textId="77777777" w:rsidR="007C76E4" w:rsidRPr="004A0DCE" w:rsidRDefault="007C76E4" w:rsidP="007C76E4">
      <w:pPr>
        <w:jc w:val="center"/>
        <w:rPr>
          <w:rFonts w:ascii="Times New Roman" w:hAnsi="Times New Roman" w:cs="Times New Roman"/>
          <w:sz w:val="24"/>
          <w:szCs w:val="24"/>
          <w:lang w:val="it-IT"/>
        </w:rPr>
      </w:pPr>
    </w:p>
    <w:p w14:paraId="33CE01D6" w14:textId="77777777" w:rsidR="003223FC" w:rsidRPr="004A0DCE" w:rsidRDefault="003223FC" w:rsidP="003223FC">
      <w:pPr>
        <w:ind w:left="0"/>
        <w:rPr>
          <w:lang w:val="it-IT"/>
        </w:rPr>
      </w:pPr>
    </w:p>
    <w:sectPr w:rsidR="003223FC" w:rsidRPr="004A0DC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5AB2C" w14:textId="77777777" w:rsidR="00867318" w:rsidRDefault="00867318" w:rsidP="007C76E4">
      <w:pPr>
        <w:spacing w:after="0" w:line="240" w:lineRule="auto"/>
      </w:pPr>
      <w:r>
        <w:separator/>
      </w:r>
    </w:p>
  </w:endnote>
  <w:endnote w:type="continuationSeparator" w:id="0">
    <w:p w14:paraId="622EEBC7" w14:textId="77777777" w:rsidR="00867318" w:rsidRDefault="00867318" w:rsidP="007C7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1381B7" w14:textId="77777777" w:rsidR="00867318" w:rsidRDefault="00867318" w:rsidP="007C76E4">
      <w:pPr>
        <w:spacing w:after="0" w:line="240" w:lineRule="auto"/>
      </w:pPr>
      <w:r>
        <w:separator/>
      </w:r>
    </w:p>
  </w:footnote>
  <w:footnote w:type="continuationSeparator" w:id="0">
    <w:p w14:paraId="67BA5D52" w14:textId="77777777" w:rsidR="00867318" w:rsidRDefault="00867318" w:rsidP="007C7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2216817"/>
      <w:docPartObj>
        <w:docPartGallery w:val="Page Numbers (Top of Page)"/>
        <w:docPartUnique/>
      </w:docPartObj>
    </w:sdtPr>
    <w:sdtEndPr>
      <w:rPr>
        <w:rFonts w:ascii="Times New Roman" w:hAnsi="Times New Roman" w:cs="Times New Roman"/>
        <w:noProof/>
        <w:sz w:val="24"/>
        <w:szCs w:val="24"/>
      </w:rPr>
    </w:sdtEndPr>
    <w:sdtContent>
      <w:p w14:paraId="7E63BDBD" w14:textId="145DB24D" w:rsidR="007C76E4" w:rsidRPr="007C76E4" w:rsidRDefault="007C76E4">
        <w:pPr>
          <w:pStyle w:val="Header"/>
          <w:jc w:val="right"/>
          <w:rPr>
            <w:rFonts w:ascii="Times New Roman" w:hAnsi="Times New Roman" w:cs="Times New Roman"/>
            <w:sz w:val="24"/>
            <w:szCs w:val="24"/>
          </w:rPr>
        </w:pPr>
        <w:r w:rsidRPr="007C76E4">
          <w:rPr>
            <w:rFonts w:ascii="Times New Roman" w:hAnsi="Times New Roman" w:cs="Times New Roman"/>
            <w:sz w:val="24"/>
            <w:szCs w:val="24"/>
          </w:rPr>
          <w:fldChar w:fldCharType="begin"/>
        </w:r>
        <w:r w:rsidRPr="007C76E4">
          <w:rPr>
            <w:rFonts w:ascii="Times New Roman" w:hAnsi="Times New Roman" w:cs="Times New Roman"/>
            <w:sz w:val="24"/>
            <w:szCs w:val="24"/>
          </w:rPr>
          <w:instrText xml:space="preserve"> PAGE   \* MERGEFORMAT </w:instrText>
        </w:r>
        <w:r w:rsidRPr="007C76E4">
          <w:rPr>
            <w:rFonts w:ascii="Times New Roman" w:hAnsi="Times New Roman" w:cs="Times New Roman"/>
            <w:sz w:val="24"/>
            <w:szCs w:val="24"/>
          </w:rPr>
          <w:fldChar w:fldCharType="separate"/>
        </w:r>
        <w:r w:rsidRPr="007C76E4">
          <w:rPr>
            <w:rFonts w:ascii="Times New Roman" w:hAnsi="Times New Roman" w:cs="Times New Roman"/>
            <w:noProof/>
            <w:sz w:val="24"/>
            <w:szCs w:val="24"/>
          </w:rPr>
          <w:t>2</w:t>
        </w:r>
        <w:r w:rsidRPr="007C76E4">
          <w:rPr>
            <w:rFonts w:ascii="Times New Roman" w:hAnsi="Times New Roman" w:cs="Times New Roman"/>
            <w:noProof/>
            <w:sz w:val="24"/>
            <w:szCs w:val="24"/>
          </w:rPr>
          <w:fldChar w:fldCharType="end"/>
        </w:r>
      </w:p>
    </w:sdtContent>
  </w:sdt>
  <w:p w14:paraId="730541BD" w14:textId="77777777" w:rsidR="007C76E4" w:rsidRDefault="007C76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9C208E"/>
    <w:multiLevelType w:val="multilevel"/>
    <w:tmpl w:val="19B2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0E5282"/>
    <w:multiLevelType w:val="multilevel"/>
    <w:tmpl w:val="225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9160664">
    <w:abstractNumId w:val="1"/>
  </w:num>
  <w:num w:numId="2" w16cid:durableId="367875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W3MDK0NDI1MjIxMDBW0lEKTi0uzszPAykwrAUAi6yRCCwAAAA="/>
  </w:docVars>
  <w:rsids>
    <w:rsidRoot w:val="003F136F"/>
    <w:rsid w:val="00162688"/>
    <w:rsid w:val="002268E1"/>
    <w:rsid w:val="0028198A"/>
    <w:rsid w:val="003223FC"/>
    <w:rsid w:val="00376486"/>
    <w:rsid w:val="003F136F"/>
    <w:rsid w:val="004A0DCE"/>
    <w:rsid w:val="007C76E4"/>
    <w:rsid w:val="00827EB9"/>
    <w:rsid w:val="00867318"/>
    <w:rsid w:val="00A35799"/>
    <w:rsid w:val="00B1647E"/>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A5FB73"/>
  <w15:chartTrackingRefBased/>
  <w15:docId w15:val="{8B009C17-A4D6-43A5-9AEE-0E451442D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76E4"/>
  </w:style>
  <w:style w:type="paragraph" w:styleId="Heading1">
    <w:name w:val="heading 1"/>
    <w:basedOn w:val="Normal"/>
    <w:next w:val="Normal"/>
    <w:link w:val="Heading1Char"/>
    <w:uiPriority w:val="9"/>
    <w:qFormat/>
    <w:rsid w:val="003F1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1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3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F13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3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3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1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F1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6F"/>
    <w:rPr>
      <w:rFonts w:eastAsiaTheme="majorEastAsia" w:cstheme="majorBidi"/>
      <w:color w:val="272727" w:themeColor="text1" w:themeTint="D8"/>
    </w:rPr>
  </w:style>
  <w:style w:type="paragraph" w:styleId="Title">
    <w:name w:val="Title"/>
    <w:basedOn w:val="Normal"/>
    <w:next w:val="Normal"/>
    <w:link w:val="TitleChar"/>
    <w:uiPriority w:val="10"/>
    <w:qFormat/>
    <w:rsid w:val="003F1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6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136F"/>
    <w:rPr>
      <w:i/>
      <w:iCs/>
      <w:color w:val="404040" w:themeColor="text1" w:themeTint="BF"/>
    </w:rPr>
  </w:style>
  <w:style w:type="paragraph" w:styleId="ListParagraph">
    <w:name w:val="List Paragraph"/>
    <w:basedOn w:val="Normal"/>
    <w:uiPriority w:val="34"/>
    <w:qFormat/>
    <w:rsid w:val="003F136F"/>
    <w:pPr>
      <w:ind w:left="720"/>
      <w:contextualSpacing/>
    </w:pPr>
  </w:style>
  <w:style w:type="character" w:styleId="IntenseEmphasis">
    <w:name w:val="Intense Emphasis"/>
    <w:basedOn w:val="DefaultParagraphFont"/>
    <w:uiPriority w:val="21"/>
    <w:qFormat/>
    <w:rsid w:val="003F136F"/>
    <w:rPr>
      <w:i/>
      <w:iCs/>
      <w:color w:val="0F4761" w:themeColor="accent1" w:themeShade="BF"/>
    </w:rPr>
  </w:style>
  <w:style w:type="paragraph" w:styleId="IntenseQuote">
    <w:name w:val="Intense Quote"/>
    <w:basedOn w:val="Normal"/>
    <w:next w:val="Normal"/>
    <w:link w:val="IntenseQuoteChar"/>
    <w:uiPriority w:val="30"/>
    <w:qFormat/>
    <w:rsid w:val="003F1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36F"/>
    <w:rPr>
      <w:i/>
      <w:iCs/>
      <w:color w:val="0F4761" w:themeColor="accent1" w:themeShade="BF"/>
    </w:rPr>
  </w:style>
  <w:style w:type="character" w:styleId="IntenseReference">
    <w:name w:val="Intense Reference"/>
    <w:basedOn w:val="DefaultParagraphFont"/>
    <w:uiPriority w:val="32"/>
    <w:qFormat/>
    <w:rsid w:val="003F136F"/>
    <w:rPr>
      <w:b/>
      <w:bCs/>
      <w:smallCaps/>
      <w:color w:val="0F4761" w:themeColor="accent1" w:themeShade="BF"/>
      <w:spacing w:val="5"/>
    </w:rPr>
  </w:style>
  <w:style w:type="paragraph" w:styleId="NormalWeb">
    <w:name w:val="Normal (Web)"/>
    <w:basedOn w:val="Normal"/>
    <w:uiPriority w:val="99"/>
    <w:unhideWhenUsed/>
    <w:rsid w:val="003F136F"/>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3F136F"/>
    <w:rPr>
      <w:b/>
      <w:bCs/>
    </w:rPr>
  </w:style>
  <w:style w:type="character" w:styleId="Emphasis">
    <w:name w:val="Emphasis"/>
    <w:basedOn w:val="DefaultParagraphFont"/>
    <w:uiPriority w:val="20"/>
    <w:qFormat/>
    <w:rsid w:val="003F136F"/>
    <w:rPr>
      <w:i/>
      <w:iCs/>
    </w:rPr>
  </w:style>
  <w:style w:type="character" w:styleId="Hyperlink">
    <w:name w:val="Hyperlink"/>
    <w:basedOn w:val="DefaultParagraphFont"/>
    <w:uiPriority w:val="99"/>
    <w:unhideWhenUsed/>
    <w:rsid w:val="003F136F"/>
    <w:rPr>
      <w:color w:val="0000FF"/>
      <w:u w:val="single"/>
    </w:rPr>
  </w:style>
  <w:style w:type="paragraph" w:styleId="Header">
    <w:name w:val="header"/>
    <w:basedOn w:val="Normal"/>
    <w:link w:val="HeaderChar"/>
    <w:uiPriority w:val="99"/>
    <w:unhideWhenUsed/>
    <w:rsid w:val="007C7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6E4"/>
  </w:style>
  <w:style w:type="paragraph" w:styleId="Footer">
    <w:name w:val="footer"/>
    <w:basedOn w:val="Normal"/>
    <w:link w:val="FooterChar"/>
    <w:uiPriority w:val="99"/>
    <w:unhideWhenUsed/>
    <w:rsid w:val="007C7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6E4"/>
  </w:style>
  <w:style w:type="character" w:styleId="UnresolvedMention">
    <w:name w:val="Unresolved Mention"/>
    <w:basedOn w:val="DefaultParagraphFont"/>
    <w:uiPriority w:val="99"/>
    <w:semiHidden/>
    <w:unhideWhenUsed/>
    <w:rsid w:val="007C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0949325">
      <w:bodyDiv w:val="1"/>
      <w:marLeft w:val="0"/>
      <w:marRight w:val="0"/>
      <w:marTop w:val="0"/>
      <w:marBottom w:val="0"/>
      <w:divBdr>
        <w:top w:val="none" w:sz="0" w:space="0" w:color="auto"/>
        <w:left w:val="none" w:sz="0" w:space="0" w:color="auto"/>
        <w:bottom w:val="none" w:sz="0" w:space="0" w:color="auto"/>
        <w:right w:val="none" w:sz="0" w:space="0" w:color="auto"/>
      </w:divBdr>
    </w:div>
    <w:div w:id="519051051">
      <w:bodyDiv w:val="1"/>
      <w:marLeft w:val="0"/>
      <w:marRight w:val="0"/>
      <w:marTop w:val="0"/>
      <w:marBottom w:val="0"/>
      <w:divBdr>
        <w:top w:val="none" w:sz="0" w:space="0" w:color="auto"/>
        <w:left w:val="none" w:sz="0" w:space="0" w:color="auto"/>
        <w:bottom w:val="none" w:sz="0" w:space="0" w:color="auto"/>
        <w:right w:val="none" w:sz="0" w:space="0" w:color="auto"/>
      </w:divBdr>
    </w:div>
    <w:div w:id="563299547">
      <w:bodyDiv w:val="1"/>
      <w:marLeft w:val="0"/>
      <w:marRight w:val="0"/>
      <w:marTop w:val="0"/>
      <w:marBottom w:val="0"/>
      <w:divBdr>
        <w:top w:val="none" w:sz="0" w:space="0" w:color="auto"/>
        <w:left w:val="none" w:sz="0" w:space="0" w:color="auto"/>
        <w:bottom w:val="none" w:sz="0" w:space="0" w:color="auto"/>
        <w:right w:val="none" w:sz="0" w:space="0" w:color="auto"/>
      </w:divBdr>
    </w:div>
    <w:div w:id="1097218616">
      <w:bodyDiv w:val="1"/>
      <w:marLeft w:val="0"/>
      <w:marRight w:val="0"/>
      <w:marTop w:val="0"/>
      <w:marBottom w:val="0"/>
      <w:divBdr>
        <w:top w:val="none" w:sz="0" w:space="0" w:color="auto"/>
        <w:left w:val="none" w:sz="0" w:space="0" w:color="auto"/>
        <w:bottom w:val="none" w:sz="0" w:space="0" w:color="auto"/>
        <w:right w:val="none" w:sz="0" w:space="0" w:color="auto"/>
      </w:divBdr>
    </w:div>
    <w:div w:id="171095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735</Words>
  <Characters>4761</Characters>
  <Application>Microsoft Office Word</Application>
  <DocSecurity>0</DocSecurity>
  <Lines>102</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2024-07-18T04:46:00Z</dcterms:created>
  <dcterms:modified xsi:type="dcterms:W3CDTF">2024-07-18T14:09:00Z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a6e209ae-4978-4736-ac0e-b6708e748824</vt:lpwstr>
  </property>
</Properties>
</file>