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MANUFAKTUR PKRT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STANDAR OPERASIONAL PROSEDUR:</w:t>
              <w:br/>
              <w:t>PENGAMBILAN SAMPEL UJI (SAMPLING PROTOCOL)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SOP-QC-013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1. TUJUAN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Memperoleh sampel uji yang representatif, homogen, dan tidak terkontaminasi dari bahan baku, proses pengolahan, dan produk jadi untuk analisis laboratorium.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2. RUANG LINGKUP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Berlaku untuk kegiatan pengambilan sampel di area gudang bahan baku, ruang mixing, dan ruang kemas.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3. TANGGUNG JAWAB DAN WEWENANG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Petugas QC: </w:t>
      </w:r>
      <w:r>
        <w:rPr>
          <w:rFonts w:ascii="Times New Roman" w:hAnsi="Times New Roman"/>
          <w:color w:val="000000"/>
        </w:rPr>
        <w:t>Melaksanakan sampling sesuai metode dan jadwal yang ditetapkan.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PJT: </w:t>
      </w:r>
      <w:r>
        <w:rPr>
          <w:rFonts w:ascii="Times New Roman" w:hAnsi="Times New Roman"/>
          <w:color w:val="000000"/>
        </w:rPr>
        <w:t>Menyetujui rencana sampling dan mengevaluasi integritas sampel.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4. DEFINISI DAN DASAR HUKUM ACUAN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ISO 9001:2015 Klausul 8.6 (Pelepasan Produk dan Jasa) &amp; Standar CPKRTB.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5. PROSEDUR KERJA LANGKAH DEMI LANGKAH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Persiapan Alat: </w:t>
      </w:r>
      <w:r>
        <w:rPr>
          <w:rFonts w:ascii="Times New Roman" w:hAnsi="Times New Roman"/>
          <w:color w:val="000000"/>
        </w:rPr>
        <w:t>Gunakan wadah botol kaca/plastik steril, pipet ukur bersih, atau thief sampler khusus bahan kimia.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Sampling Bahan Baku Datang: </w:t>
      </w:r>
      <w:r>
        <w:rPr>
          <w:rFonts w:ascii="Times New Roman" w:hAnsi="Times New Roman"/>
          <w:color w:val="000000"/>
        </w:rPr>
        <w:t>Ambil sampel dari sejumlah akar n + 1 drum (misal: 9 drum = 4 drum disampling) sebanyak 100 mL per drum dan campur homogen (komposit).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 Sampling In-Process (Tangki Mixer): </w:t>
      </w:r>
      <w:r>
        <w:rPr>
          <w:rFonts w:ascii="Times New Roman" w:hAnsi="Times New Roman"/>
          <w:color w:val="000000"/>
        </w:rPr>
        <w:t>Ambil 250 mL cairan dari 3 titik (permukaan atas, bagian tengah, dan kran bawah tangki) setelah proses mixing dinyatakan selesai.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4. Sampling Produk Jadi (Lini Filling): </w:t>
      </w:r>
      <w:r>
        <w:rPr>
          <w:rFonts w:ascii="Times New Roman" w:hAnsi="Times New Roman"/>
          <w:color w:val="000000"/>
        </w:rPr>
        <w:t>Ambil 1 botol kemasan pada 10% awal filling, 1 botol pada 50% pertengahan, dan 1 botol pada 90% akhir proses.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5. Pemberian Label Sampel: </w:t>
      </w:r>
      <w:r>
        <w:rPr>
          <w:rFonts w:ascii="Times New Roman" w:hAnsi="Times New Roman"/>
          <w:color w:val="000000"/>
        </w:rPr>
        <w:t>Beri label pada botol sampel: Nama Produk/Bahan, Nomor Bets, Tanggal Sampling, dan Nama Petugas QC.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6. Pengiriman ke Lab: </w:t>
      </w:r>
      <w:r>
        <w:rPr>
          <w:rFonts w:ascii="Times New Roman" w:hAnsi="Times New Roman"/>
          <w:color w:val="000000"/>
        </w:rPr>
        <w:t>Bawa sampel ke laboratorium QC untuk segera dilakukan pengujian fisik-kimia.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6. DOKUMEN DAN FORMULIR TERKAIT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FRM-QC-01: </w:t>
      </w:r>
      <w:r>
        <w:rPr>
          <w:rFonts w:ascii="Times New Roman" w:hAnsi="Times New Roman"/>
          <w:color w:val="000000"/>
        </w:rPr>
        <w:t>Logbook Pengambilan Sampel Uji (Sampling Logbook).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FRM-QC-02: </w:t>
      </w:r>
      <w:r>
        <w:rPr>
          <w:rFonts w:ascii="Times New Roman" w:hAnsi="Times New Roman"/>
          <w:color w:val="000000"/>
        </w:rPr>
        <w:t>Label Identitas Wadah Sampel Uji.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2929"/>
        <w:gridCol w:w="2929"/>
        <w:gridCol w:w="2929"/>
      </w:tblGrid>
      <w:tr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Disiapkan Oleh,</w:t>
              <w:br/>
              <w:t>Penanggung Jawab Teknis (PJT)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Diperiksa Oleh,</w:t>
              <w:br/>
              <w:t>Kepala Bagian Operasional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Disahkan Oleh,</w:t>
              <w:br/>
              <w:t>Direktur Utama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Sop-Qc-013 Pengambilan Sampel Uji Sampling Protocol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3</cp:revision>
  <dcterms:created xsi:type="dcterms:W3CDTF">2026-08-11T15:17:22Z</dcterms:created>
  <dcterms:modified xsi:type="dcterms:W3CDTF">2026-08-20T19:39:22Z</dcterms:modified>
  <cp:category>Dokumen Manajemen KCA</cp:category>
</cp:coreProperties>
</file>