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PENANGANAN PRODUK TIDAK SESUAI (REJECT / REWORK)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SOP-PRD-019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Mengendalikan bahan baku, produk antara, atau produk jadi yang tidak memenuhi spesifikasi mutu agar tidak terproses lebih lanjut atau terdistribusi ke pasar.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cairan hasil mixing yang OOS (Out of Specification), botol bocor, stiker rusak, dan karton cacat.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Memberi label status tidak sesuai dan mengisolasi produk.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Menentukan keputusan disposisi: pengerjaan ulang (rework) atau pemusnahan (reject).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Produksi: </w:t>
      </w:r>
      <w:r>
        <w:rPr>
          <w:rFonts w:ascii="Times New Roman" w:hAnsi="Times New Roman"/>
          <w:color w:val="000000"/>
        </w:rPr>
        <w:t>Melaksanakan instruksi teknis rework atau pemusnahan.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8.7 (Pengendalian Ketidaksesuaian Keluaran) &amp; CPKRTB.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Identifikasi &amp; Karantina: </w:t>
      </w:r>
      <w:r>
        <w:rPr>
          <w:rFonts w:ascii="Times New Roman" w:hAnsi="Times New Roman"/>
          <w:color w:val="000000"/>
        </w:rPr>
        <w:t>Tempel label merah bertuliskan 'DITOLAK / REJECT' atau label oranye 'DIREWORK' pada tangki/wadah yang tidak lulus QC.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Investigasi Ketidaksesuaian: </w:t>
      </w:r>
      <w:r>
        <w:rPr>
          <w:rFonts w:ascii="Times New Roman" w:hAnsi="Times New Roman"/>
          <w:color w:val="000000"/>
        </w:rPr>
        <w:t>PJT dan Analis QC memeriksa penyebab penyimpangan (misal pH terlalu asam atau viskositas kurang kental).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Disposisi Rework: </w:t>
      </w:r>
      <w:r>
        <w:rPr>
          <w:rFonts w:ascii="Times New Roman" w:hAnsi="Times New Roman"/>
          <w:color w:val="000000"/>
        </w:rPr>
        <w:t>Jika formula dapat diperbaiki (misal: menambahkan larutan NaCl untuk menaikkan kekentalan, atau menambah soda ash untuk menaikkan pH), PJT menerbitkan Instruksi Kerja Rework tertulis.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Pengujian Ulang: </w:t>
      </w:r>
      <w:r>
        <w:rPr>
          <w:rFonts w:ascii="Times New Roman" w:hAnsi="Times New Roman"/>
          <w:color w:val="000000"/>
        </w:rPr>
        <w:t>Lakukan pengujian laboratorium lengkap terhadap batch yang telah dirework hingga memenuhi seluruh parameter spesifikasi.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Disposisi Pemusnahan: </w:t>
      </w:r>
      <w:r>
        <w:rPr>
          <w:rFonts w:ascii="Times New Roman" w:hAnsi="Times New Roman"/>
          <w:color w:val="000000"/>
        </w:rPr>
        <w:t>Jika formula tidak dapat diperbaiki, netralkan cairan dan buang ke saluran IPAL berizin, serta musnahkan botol/label yang rusak.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Pencatatan: </w:t>
      </w:r>
      <w:r>
        <w:rPr>
          <w:rFonts w:ascii="Times New Roman" w:hAnsi="Times New Roman"/>
          <w:color w:val="000000"/>
        </w:rPr>
        <w:t>Catat seluruh riwayat ketidaksesuaian pada Laporan Produk Tidak Sesuai.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FRM-PRD-06: </w:t>
      </w:r>
      <w:r>
        <w:rPr>
          <w:rFonts w:ascii="Times New Roman" w:hAnsi="Times New Roman"/>
          <w:color w:val="000000"/>
        </w:rPr>
        <w:t>Laporan Produk Tidak Sesuai (Non-Conforming Product Report).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FRM-PRD-07: </w:t>
      </w:r>
      <w:r>
        <w:rPr>
          <w:rFonts w:ascii="Times New Roman" w:hAnsi="Times New Roman"/>
          <w:color w:val="000000"/>
        </w:rPr>
        <w:t>Catatan Pengolahan Pengerjaan Ulang (Rework Record).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Sop-Prd-019 Penanganan Produk Tidak Sesuai Reject Rework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2026-08-18T14:11:27Z</dcterms:created>
  <dcterms:modified xsi:type="dcterms:W3CDTF">2026-08-20T14:30:50Z</dcterms:modified>
  <cp:category>Dokumen Manajemen KCA</cp:category>
</cp:coreProperties>
</file>