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insideH w:val="single" w:sz="6" w:space="0" w:color="000000"/>
          <w:insideV w:val="single" w:sz="6" w:space="0" w:color="000000"/>
          <w:left w:val="single" w:sz="6" w:space="0" w:color="000000"/>
          <w:right w:val="single" w:sz="6" w:space="0" w:color="000000"/>
        </w:tblBorders>
      </w:tblPr>
      <w:tblGrid>
        <w:gridCol w:w="2197"/>
        <w:gridCol w:w="2197"/>
        <w:gridCol w:w="2197"/>
        <w:gridCol w:w="2197"/>
      </w:tblGrid>
      <w:tr>
        <w:tc>
          <w:tcPr>
            <w:tcW w:type="dxa" w:w="2154"/>
            <w:vMerge w:val="restart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PT Kediri Chemical Abadi</w:t>
              <w:br/>
              <w:t>MANUFAKTUR PKRT</w:t>
              <w:br/>
              <w:t>SISTEM ISO 9001:2015</w:t>
            </w:r>
          </w:p>
        </w:tc>
        <w:tc>
          <w:tcPr>
            <w:tcW w:type="dxa" w:w="3515"/>
            <w:vMerge w:val="restart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STANDAR OPERASIONAL PROSEDUR:</w:t>
              <w:br/>
              <w:t>AUDIT INTERNAL DAN INSPEKSI DIRI STANDAR ISO 9001 &amp; CPKRTB</w:t>
            </w:r>
          </w:p>
        </w:tc>
        <w:tc>
          <w:tcPr>
            <w:tcW w:type="dxa" w:w="141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No. Dokumen</w:t>
            </w:r>
          </w:p>
        </w:tc>
        <w:tc>
          <w:tcPr>
            <w:tcW w:type="dxa" w:w="170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18"/>
              </w:rPr>
              <w:t>SOP-QMS-020</w:t>
            </w:r>
          </w:p>
        </w:tc>
      </w:tr>
      <w:tr>
        <w:tc>
          <w:tcPr>
            <w:tcW w:type="dxa" w:w="2154"/>
            <w:vMerge/>
            <w:tcMar>
              <w:top w:w="70" w:type="dxa"/>
              <w:bottom w:w="70" w:type="dxa"/>
              <w:left w:w="90" w:type="dxa"/>
              <w:right w:w="90" w:type="dxa"/>
            </w:tcMar>
          </w:tcPr>
          <w:p/>
        </w:tc>
        <w:tc>
          <w:tcPr>
            <w:tcW w:type="dxa" w:w="3515"/>
            <w:vMerge/>
            <w:tcMar>
              <w:top w:w="70" w:type="dxa"/>
              <w:bottom w:w="70" w:type="dxa"/>
              <w:left w:w="90" w:type="dxa"/>
              <w:right w:w="90" w:type="dxa"/>
            </w:tcMar>
          </w:tcPr>
          <w:p/>
        </w:tc>
        <w:tc>
          <w:tcPr>
            <w:tcW w:type="dxa" w:w="141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No. Revisi / Tgl</w:t>
            </w:r>
          </w:p>
        </w:tc>
        <w:tc>
          <w:tcPr>
            <w:tcW w:type="dxa" w:w="170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18"/>
              </w:rPr>
              <w:t>Rev. 00 / 19 Agustus 2026</w:t>
            </w:r>
          </w:p>
        </w:tc>
      </w:tr>
      <w:tr>
        <w:tc>
          <w:tcPr>
            <w:tcW w:type="dxa" w:w="2154"/>
            <w:vMerge/>
            <w:tcMar>
              <w:top w:w="70" w:type="dxa"/>
              <w:bottom w:w="70" w:type="dxa"/>
              <w:left w:w="90" w:type="dxa"/>
              <w:right w:w="90" w:type="dxa"/>
            </w:tcMar>
          </w:tcPr>
          <w:p/>
        </w:tc>
        <w:tc>
          <w:tcPr>
            <w:tcW w:type="dxa" w:w="3515"/>
            <w:vMerge/>
            <w:tcMar>
              <w:top w:w="70" w:type="dxa"/>
              <w:bottom w:w="70" w:type="dxa"/>
              <w:left w:w="90" w:type="dxa"/>
              <w:right w:w="90" w:type="dxa"/>
            </w:tcMar>
          </w:tcPr>
          <w:p/>
        </w:tc>
        <w:tc>
          <w:tcPr>
            <w:tcW w:type="dxa" w:w="141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Status Dokumen</w:t>
            </w:r>
          </w:p>
        </w:tc>
        <w:tc>
          <w:tcPr>
            <w:tcW w:type="dxa" w:w="170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18"/>
              </w:rPr>
              <w:t>TERKENDALI</w:t>
            </w:r>
          </w:p>
        </w:tc>
      </w:tr>
    </w:tbl>
    <w:p>
      <w:pPr>
        <w:spacing w:line="276" w:lineRule="auto" w:after="80"/>
      </w:pPr>
    </w:p>
    <w:p>
      <w:pPr>
        <w:keepNext/>
        <w:spacing w:before="240" w:after="80" w:line="276" w:lineRule="auto"/>
      </w:pPr>
      <w:r>
        <w:rPr>
          <w:rFonts w:ascii="Times New Roman" w:hAnsi="Times New Roman"/>
          <w:b/>
          <w:color w:val="000000"/>
          <w:sz w:val="24"/>
        </w:rPr>
        <w:t>1. TUJUAN</w:t>
      </w:r>
    </w:p>
    <w:p>
      <w:pPr>
        <w:spacing w:after="80" w:line="276" w:lineRule="auto"/>
      </w:pPr>
      <w:r>
        <w:rPr>
          <w:rFonts w:ascii="Times New Roman" w:hAnsi="Times New Roman"/>
          <w:color w:val="000000"/>
          <w:sz w:val="22"/>
        </w:rPr>
        <w:t>Memastikan seluruh sistem manajemen mutu pabrik, SOP, catatan batch, dan fasilitas fisik berjalan secara konsisten, efektif, dan siap menghadapi audit sertifikasi atau inspeksi berkala Kemenkes/Dinkes.</w:t>
      </w:r>
    </w:p>
    <w:p>
      <w:pPr>
        <w:keepNext/>
        <w:spacing w:before="240" w:after="80" w:line="276" w:lineRule="auto"/>
      </w:pPr>
      <w:r>
        <w:rPr>
          <w:rFonts w:ascii="Times New Roman" w:hAnsi="Times New Roman"/>
          <w:b/>
          <w:color w:val="000000"/>
          <w:sz w:val="24"/>
        </w:rPr>
        <w:t>2. RUANG LINGKUP</w:t>
      </w:r>
    </w:p>
    <w:p>
      <w:pPr>
        <w:spacing w:after="80" w:line="276" w:lineRule="auto"/>
      </w:pPr>
      <w:r>
        <w:rPr>
          <w:rFonts w:ascii="Times New Roman" w:hAnsi="Times New Roman"/>
          <w:color w:val="000000"/>
          <w:sz w:val="22"/>
        </w:rPr>
        <w:t>Berlaku untuk seluruh divisi di PT KCA Chemical (Gudang, Produksi, QC, PJT, Marketing, dan Manajemen).</w:t>
      </w:r>
    </w:p>
    <w:p>
      <w:pPr>
        <w:keepNext/>
        <w:spacing w:before="240" w:after="80" w:line="276" w:lineRule="auto"/>
      </w:pPr>
      <w:r>
        <w:rPr>
          <w:rFonts w:ascii="Times New Roman" w:hAnsi="Times New Roman"/>
          <w:b/>
          <w:color w:val="000000"/>
          <w:sz w:val="24"/>
        </w:rPr>
        <w:t>3. TANGGUNG JAWAB DAN WEWENANG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Tim Auditor Internal: </w:t>
      </w:r>
      <w:r>
        <w:rPr>
          <w:rFonts w:ascii="Times New Roman" w:hAnsi="Times New Roman"/>
          <w:color w:val="000000"/>
        </w:rPr>
        <w:t>Melakukan audit independen terhadap divisi yang tidak di bawah tanggung jawab langsungnya.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Management Representative (MR) / PJT: </w:t>
      </w:r>
      <w:r>
        <w:rPr>
          <w:rFonts w:ascii="Times New Roman" w:hAnsi="Times New Roman"/>
          <w:color w:val="000000"/>
        </w:rPr>
        <w:t>Menyusun jadwal audit tahunan dan memonitor tindak lanjut temuan audit.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Direktur Utama: </w:t>
      </w:r>
      <w:r>
        <w:rPr>
          <w:rFonts w:ascii="Times New Roman" w:hAnsi="Times New Roman"/>
          <w:color w:val="000000"/>
        </w:rPr>
        <w:t>Memimpin Rapat Tinjauan Manajemen (Management Review) berdasarkan hasil audit.</w:t>
      </w:r>
    </w:p>
    <w:p>
      <w:pPr>
        <w:keepNext/>
        <w:spacing w:before="240" w:after="80" w:line="276" w:lineRule="auto"/>
      </w:pPr>
      <w:r>
        <w:rPr>
          <w:rFonts w:ascii="Times New Roman" w:hAnsi="Times New Roman"/>
          <w:b/>
          <w:color w:val="000000"/>
          <w:sz w:val="24"/>
        </w:rPr>
        <w:t>4. DEFINISI DAN DASAR HUKUM ACUAN</w:t>
      </w:r>
    </w:p>
    <w:p>
      <w:pPr>
        <w:spacing w:after="80" w:line="276" w:lineRule="auto"/>
      </w:pPr>
      <w:r>
        <w:rPr>
          <w:rFonts w:ascii="Times New Roman" w:hAnsi="Times New Roman"/>
          <w:color w:val="000000"/>
          <w:sz w:val="22"/>
        </w:rPr>
        <w:t>ISO 9001:2015 Klausul 9.2 (Audit Internal) &amp; 9.3 (Tinjauan Manajemen) serta Standar Inspeksi Diri CPKRTB.</w:t>
      </w:r>
    </w:p>
    <w:p>
      <w:pPr>
        <w:keepNext/>
        <w:spacing w:before="240" w:after="80" w:line="276" w:lineRule="auto"/>
      </w:pPr>
      <w:r>
        <w:rPr>
          <w:rFonts w:ascii="Times New Roman" w:hAnsi="Times New Roman"/>
          <w:b/>
          <w:color w:val="000000"/>
          <w:sz w:val="24"/>
        </w:rPr>
        <w:t>5. PROSEDUR KERJA LANGKAH DEMI LANGKAH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1. Program Audit: </w:t>
      </w:r>
      <w:r>
        <w:rPr>
          <w:rFonts w:ascii="Times New Roman" w:hAnsi="Times New Roman"/>
          <w:color w:val="000000"/>
        </w:rPr>
        <w:t>Susun Rencana Audit Internal tahunan (dilaksanakan minimal 2 kali dalam setahun atau setiap 6 bulan sekali).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2. Rapat Pembukaan (Opening Meeting): </w:t>
      </w:r>
      <w:r>
        <w:rPr>
          <w:rFonts w:ascii="Times New Roman" w:hAnsi="Times New Roman"/>
          <w:color w:val="000000"/>
        </w:rPr>
        <w:t>Auditor menyampaikan ruang lingkup, kriteria audit, dan jadwal visitasi area.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3. Pelaksanaan Audit Lapangan: </w:t>
      </w:r>
      <w:r>
        <w:rPr>
          <w:rFonts w:ascii="Times New Roman" w:hAnsi="Times New Roman"/>
          <w:color w:val="000000"/>
        </w:rPr>
        <w:t>Periksa bukti fisik di lapangan: kebersihan ruangan, kalibrasi timbangan, pengisian Batch Record harian, kesesuaian SOP, dan ketersediaan APD.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4. Pencatatan Temuan: </w:t>
      </w:r>
      <w:r>
        <w:rPr>
          <w:rFonts w:ascii="Times New Roman" w:hAnsi="Times New Roman"/>
          <w:color w:val="000000"/>
        </w:rPr>
        <w:t>Kelompokkan temuan ke dalam kategori: Mayor, Minor, atau Saran Perbaikan (Observasi) pada Formulir Laporan Temuan Audit.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5. Tindak Lanjut Korektif (CAPA): </w:t>
      </w:r>
      <w:r>
        <w:rPr>
          <w:rFonts w:ascii="Times New Roman" w:hAnsi="Times New Roman"/>
          <w:color w:val="000000"/>
        </w:rPr>
        <w:t>Auditee wajib menyusun rencana perbaikan dan menyelesaikan akar masalah maksimal dalam waktu 30 hari kalender.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6. Verifikasi &amp; Tinjauan Manajemen: </w:t>
      </w:r>
      <w:r>
        <w:rPr>
          <w:rFonts w:ascii="Times New Roman" w:hAnsi="Times New Roman"/>
          <w:color w:val="000000"/>
        </w:rPr>
        <w:t>Auditor melakukan verifikasi efektivitas perbaikan dan melaporkannya dalam Rapat Tinjauan Manajemen tahunan.</w:t>
      </w:r>
    </w:p>
    <w:p>
      <w:pPr>
        <w:keepNext/>
        <w:spacing w:before="240" w:after="80" w:line="276" w:lineRule="auto"/>
      </w:pPr>
      <w:r>
        <w:rPr>
          <w:rFonts w:ascii="Times New Roman" w:hAnsi="Times New Roman"/>
          <w:b/>
          <w:color w:val="000000"/>
          <w:sz w:val="24"/>
        </w:rPr>
        <w:t>6. DOKUMEN DAN FORMULIR TERKAIT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FRM-QMS-02: </w:t>
      </w:r>
      <w:r>
        <w:rPr>
          <w:rFonts w:ascii="Times New Roman" w:hAnsi="Times New Roman"/>
          <w:color w:val="000000"/>
        </w:rPr>
        <w:t>Jadwal dan Program Audit Internal Tahunan.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FRM-QMS-03: </w:t>
      </w:r>
      <w:r>
        <w:rPr>
          <w:rFonts w:ascii="Times New Roman" w:hAnsi="Times New Roman"/>
          <w:color w:val="000000"/>
        </w:rPr>
        <w:t>Checklist Audit Internal Standar CPKRTB &amp; ISO 9001:2015.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FRM-QMS-01: </w:t>
      </w:r>
      <w:r>
        <w:rPr>
          <w:rFonts w:ascii="Times New Roman" w:hAnsi="Times New Roman"/>
          <w:color w:val="000000"/>
        </w:rPr>
        <w:t>Laporan Tindakan Korektif dan Preventif (CAPA Report).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FFFFFF"/>
          <w:bottom w:val="none" w:sz="0" w:space="0" w:color="FFFFFF"/>
          <w:insideH w:val="none" w:sz="0" w:space="0" w:color="FFFFFF"/>
          <w:insideV w:val="none" w:sz="0" w:space="0" w:color="FFFFFF"/>
          <w:left w:val="none" w:sz="0" w:space="0" w:color="FFFFFF"/>
          <w:right w:val="none" w:sz="0" w:space="0" w:color="FFFFFF"/>
        </w:tblBorders>
      </w:tblPr>
      <w:tblGrid>
        <w:gridCol w:w="2929"/>
        <w:gridCol w:w="2929"/>
        <w:gridCol w:w="2929"/>
      </w:tblGrid>
      <w:tr>
        <w:tc>
          <w:tcPr>
            <w:tcW w:type="dxa" w:w="2835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Disiapkan Oleh,</w:t>
              <w:br/>
              <w:t>Penanggung Jawab Teknis (PJT)</w:t>
              <w:br/>
              <w:br/>
              <w:br/>
              <w:br/>
              <w:br/>
              <w:t>( ............................................ )</w:t>
              <w:br/>
              <w:t>Tanggal: ...................................</w:t>
            </w:r>
          </w:p>
        </w:tc>
        <w:tc>
          <w:tcPr>
            <w:tcW w:type="dxa" w:w="2835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Diperiksa Oleh,</w:t>
              <w:br/>
              <w:t>Kepala Bagian Operasional</w:t>
              <w:br/>
              <w:br/>
              <w:br/>
              <w:br/>
              <w:br/>
              <w:t>( ............................................ )</w:t>
              <w:br/>
              <w:t>Tanggal: ...................................</w:t>
            </w:r>
          </w:p>
        </w:tc>
        <w:tc>
          <w:tcPr>
            <w:tcW w:type="dxa" w:w="3118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Disahkan Oleh,</w:t>
              <w:br/>
              <w:t>Direktur Utama</w:t>
              <w:br/>
              <w:br/>
              <w:br/>
              <w:br/>
              <w:br/>
              <w:t>( ............................................ )</w:t>
              <w:br/>
              <w:t>Tanggal: ...................................</w:t>
            </w:r>
          </w:p>
        </w:tc>
      </w:tr>
    </w:tbl>
    <w:sectPr w:rsidR="00FC693F" w:rsidRPr="0006063C" w:rsidSect="00034616">
      <w:pgSz w:w="11906" w:h="16838"/>
      <w:pgMar w:top="1701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>Yerikho Arfensias Effendi</Manager>
  <Company>PT Kediri Chemical Abadi</Company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Sop-Qms-020 Audit Internal Dan Inspeksi Diri Iso9001 Cpkrtb</dc:title>
  <dc:subject>Sistem Manajemen Mutu ISO 9001:2015 &amp; Operasional Bisnis</dc:subject>
  <dc:creator>Yerikho Arfensias Effendi</dc:creator>
  <cp:keywords>PT Kediri Chemical Abadi, ISO 9001, CPKRT, SOP, Manajemen</cp:keywords>
  <dc:description>Dokumen Terkendali PT Kediri Chemical Abadi</dc:description>
  <cp:lastModifiedBy>Yerikho Arfensias Effendi</cp:lastModifiedBy>
  <cp:revision>5</cp:revision>
  <dcterms:created xsi:type="dcterms:W3CDTF">2026-08-14T12:43:18Z</dcterms:created>
  <dcterms:modified xsi:type="dcterms:W3CDTF">2026-08-20T17:13:26Z</dcterms:modified>
  <cp:category>Dokumen Manajemen KCA</cp:category>
</cp:coreProperties>
</file>