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insideV w:val="single" w:sz="6" w:space="0" w:color="000000"/>
          <w:left w:val="single" w:sz="6" w:space="0" w:color="000000"/>
          <w:right w:val="single" w:sz="6" w:space="0" w:color="000000"/>
        </w:tblBorders>
      </w:tblPr>
      <w:tblGrid>
        <w:gridCol w:w="2197"/>
        <w:gridCol w:w="2197"/>
        <w:gridCol w:w="2197"/>
        <w:gridCol w:w="2197"/>
      </w:tblGrid>
      <w:tr>
        <w:tc>
          <w:tcPr>
            <w:tcW w:type="dxa" w:w="2154"/>
            <w:vMerge w:val="restart"/>
            <w:tcMar>
              <w:top w:w="70" w:type="dxa"/>
              <w:bottom w:w="70" w:type="dxa"/>
              <w:left w:w="90" w:type="dxa"/>
              <w:right w:w="90" w:type="dxa"/>
            </w:tcMar>
          </w:tcPr>
          <w:p>
            <w:pPr>
              <w:spacing w:after="0"/>
              <w:jc w:val="center"/>
            </w:pPr>
            <w:r>
              <w:rPr>
                <w:rFonts w:ascii="Times New Roman" w:hAnsi="Times New Roman"/>
                <w:b/>
                <w:color w:val="000000"/>
                <w:sz w:val="19"/>
              </w:rPr>
              <w:t>PT Kediri Chemical Abadi</w:t>
              <w:br/>
              <w:t>MANUFAKTUR PKRT</w:t>
              <w:br/>
              <w:t>SISTEM ISO 9001:2015</w:t>
            </w:r>
          </w:p>
        </w:tc>
        <w:tc>
          <w:tcPr>
            <w:tcW w:type="dxa" w:w="3515"/>
            <w:vMerge w:val="restart"/>
            <w:tcMar>
              <w:top w:w="70" w:type="dxa"/>
              <w:bottom w:w="70" w:type="dxa"/>
              <w:left w:w="90" w:type="dxa"/>
              <w:right w:w="90" w:type="dxa"/>
            </w:tcMar>
          </w:tcPr>
          <w:p>
            <w:pPr>
              <w:spacing w:after="0"/>
              <w:jc w:val="center"/>
            </w:pPr>
            <w:r>
              <w:rPr>
                <w:rFonts w:ascii="Times New Roman" w:hAnsi="Times New Roman"/>
                <w:b/>
                <w:color w:val="000000"/>
                <w:sz w:val="21"/>
              </w:rPr>
              <w:t>MASTER ROADMAP &amp; TAHAPAN PERSIAPAN PENDIRIAN PABRIK PKRT, MAKLOON &amp; IZIN EDAR STANDAR ISO 9001:2015</w:t>
            </w:r>
          </w:p>
        </w:tc>
        <w:tc>
          <w:tcPr>
            <w:tcW w:type="dxa" w:w="1417"/>
            <w:tcMar>
              <w:top w:w="70" w:type="dxa"/>
              <w:bottom w:w="70" w:type="dxa"/>
              <w:left w:w="90" w:type="dxa"/>
              <w:right w:w="90" w:type="dxa"/>
            </w:tcMar>
          </w:tcPr>
          <w:p>
            <w:pPr>
              <w:spacing w:after="0"/>
            </w:pPr>
            <w:r>
              <w:rPr>
                <w:rFonts w:ascii="Times New Roman" w:hAnsi="Times New Roman"/>
                <w:b/>
                <w:color w:val="000000"/>
                <w:sz w:val="18"/>
              </w:rPr>
              <w:t>No. Dokumen</w:t>
            </w:r>
          </w:p>
        </w:tc>
        <w:tc>
          <w:tcPr>
            <w:tcW w:type="dxa" w:w="1701"/>
            <w:tcMar>
              <w:top w:w="70" w:type="dxa"/>
              <w:bottom w:w="70" w:type="dxa"/>
              <w:left w:w="90" w:type="dxa"/>
              <w:right w:w="90" w:type="dxa"/>
            </w:tcMar>
          </w:tcPr>
          <w:p>
            <w:pPr>
              <w:spacing w:after="0"/>
            </w:pPr>
            <w:r>
              <w:rPr>
                <w:rFonts w:ascii="Times New Roman" w:hAnsi="Times New Roman"/>
                <w:color w:val="000000"/>
                <w:sz w:val="18"/>
              </w:rPr>
              <w:t>RMP-PKRT-001</w:t>
            </w:r>
          </w:p>
        </w:tc>
      </w:tr>
      <w:tr>
        <w:tc>
          <w:tcPr>
            <w:tcW w:type="dxa" w:w="2154"/>
            <w:vMerge/>
            <w:tcMar>
              <w:top w:w="70" w:type="dxa"/>
              <w:bottom w:w="70" w:type="dxa"/>
              <w:left w:w="90" w:type="dxa"/>
              <w:right w:w="90" w:type="dxa"/>
            </w:tcMar>
          </w:tcPr>
          <w:p/>
        </w:tc>
        <w:tc>
          <w:tcPr>
            <w:tcW w:type="dxa" w:w="3515"/>
            <w:vMerge/>
            <w:tcMar>
              <w:top w:w="70" w:type="dxa"/>
              <w:bottom w:w="70" w:type="dxa"/>
              <w:left w:w="90" w:type="dxa"/>
              <w:right w:w="90" w:type="dxa"/>
            </w:tcMar>
          </w:tcPr>
          <w:p/>
        </w:tc>
        <w:tc>
          <w:tcPr>
            <w:tcW w:type="dxa" w:w="1417"/>
            <w:tcMar>
              <w:top w:w="70" w:type="dxa"/>
              <w:bottom w:w="70" w:type="dxa"/>
              <w:left w:w="90" w:type="dxa"/>
              <w:right w:w="90" w:type="dxa"/>
            </w:tcMar>
          </w:tcPr>
          <w:p>
            <w:pPr>
              <w:spacing w:after="0"/>
            </w:pPr>
            <w:r>
              <w:rPr>
                <w:rFonts w:ascii="Times New Roman" w:hAnsi="Times New Roman"/>
                <w:b/>
                <w:color w:val="000000"/>
                <w:sz w:val="18"/>
              </w:rPr>
              <w:t>No. Revisi / Tgl</w:t>
            </w:r>
          </w:p>
        </w:tc>
        <w:tc>
          <w:tcPr>
            <w:tcW w:type="dxa" w:w="1701"/>
            <w:tcMar>
              <w:top w:w="70" w:type="dxa"/>
              <w:bottom w:w="70" w:type="dxa"/>
              <w:left w:w="90" w:type="dxa"/>
              <w:right w:w="90" w:type="dxa"/>
            </w:tcMar>
          </w:tcPr>
          <w:p>
            <w:pPr>
              <w:spacing w:after="0"/>
            </w:pPr>
            <w:r>
              <w:rPr>
                <w:rFonts w:ascii="Times New Roman" w:hAnsi="Times New Roman"/>
                <w:color w:val="000000"/>
                <w:sz w:val="18"/>
              </w:rPr>
              <w:t>Rev. 00 / 19 Agustus 2026</w:t>
            </w:r>
          </w:p>
        </w:tc>
      </w:tr>
      <w:tr>
        <w:tc>
          <w:tcPr>
            <w:tcW w:type="dxa" w:w="2154"/>
            <w:vMerge/>
            <w:tcMar>
              <w:top w:w="70" w:type="dxa"/>
              <w:bottom w:w="70" w:type="dxa"/>
              <w:left w:w="90" w:type="dxa"/>
              <w:right w:w="90" w:type="dxa"/>
            </w:tcMar>
          </w:tcPr>
          <w:p/>
        </w:tc>
        <w:tc>
          <w:tcPr>
            <w:tcW w:type="dxa" w:w="3515"/>
            <w:vMerge/>
            <w:tcMar>
              <w:top w:w="70" w:type="dxa"/>
              <w:bottom w:w="70" w:type="dxa"/>
              <w:left w:w="90" w:type="dxa"/>
              <w:right w:w="90" w:type="dxa"/>
            </w:tcMar>
          </w:tcPr>
          <w:p/>
        </w:tc>
        <w:tc>
          <w:tcPr>
            <w:tcW w:type="dxa" w:w="1417"/>
            <w:tcMar>
              <w:top w:w="70" w:type="dxa"/>
              <w:bottom w:w="70" w:type="dxa"/>
              <w:left w:w="90" w:type="dxa"/>
              <w:right w:w="90" w:type="dxa"/>
            </w:tcMar>
          </w:tcPr>
          <w:p>
            <w:pPr>
              <w:spacing w:after="0"/>
            </w:pPr>
            <w:r>
              <w:rPr>
                <w:rFonts w:ascii="Times New Roman" w:hAnsi="Times New Roman"/>
                <w:b/>
                <w:color w:val="000000"/>
                <w:sz w:val="18"/>
              </w:rPr>
              <w:t>Status Dokumen</w:t>
            </w:r>
          </w:p>
        </w:tc>
        <w:tc>
          <w:tcPr>
            <w:tcW w:type="dxa" w:w="1701"/>
            <w:tcMar>
              <w:top w:w="70" w:type="dxa"/>
              <w:bottom w:w="70" w:type="dxa"/>
              <w:left w:w="90" w:type="dxa"/>
              <w:right w:w="90" w:type="dxa"/>
            </w:tcMar>
          </w:tcPr>
          <w:p>
            <w:pPr>
              <w:spacing w:after="0"/>
            </w:pPr>
            <w:r>
              <w:rPr>
                <w:rFonts w:ascii="Times New Roman" w:hAnsi="Times New Roman"/>
                <w:color w:val="000000"/>
                <w:sz w:val="18"/>
              </w:rPr>
              <w:t>TERKENDALI</w:t>
            </w:r>
          </w:p>
        </w:tc>
      </w:tr>
    </w:tbl>
    <w:p>
      <w:pPr>
        <w:spacing w:line="276" w:lineRule="auto" w:after="80"/>
      </w:pPr>
    </w:p>
    <w:p>
      <w:pPr>
        <w:keepNext/>
        <w:spacing w:before="240" w:after="80" w:line="276" w:lineRule="auto"/>
      </w:pPr>
      <w:r>
        <w:rPr>
          <w:rFonts w:ascii="Times New Roman" w:hAnsi="Times New Roman"/>
          <w:b/>
          <w:color w:val="000000"/>
          <w:sz w:val="24"/>
        </w:rPr>
        <w:t>1. TUJUAN DAN RUANG LINGKUP</w:t>
      </w:r>
    </w:p>
    <w:p>
      <w:pPr>
        <w:spacing w:after="80" w:line="276" w:lineRule="auto"/>
      </w:pPr>
      <w:r>
        <w:rPr>
          <w:rFonts w:ascii="Times New Roman" w:hAnsi="Times New Roman"/>
          <w:color w:val="000000"/>
          <w:sz w:val="22"/>
        </w:rPr>
        <w:t>Dokumen Master Roadmap ini disusun sebagai pedoman operasional dan strategis bagi PT Kediri Chemical Abadi (PT Perorangan) dalam membangun sarana industri manufaktur Perbekalan Kesehatan Rumah Tangga (PKRT), melayani jasa makloon (toll manufacturing), dan mengurus perizinan edar produk (KEMENKES RI PKD) secara terstruktur sesuai standar ISO 9001:2015 dan CPKRTB (Cara Pembuatan PKRT yang Baik).</w:t>
      </w:r>
    </w:p>
    <w:p>
      <w:pPr>
        <w:keepNext/>
        <w:spacing w:before="240" w:after="80" w:line="276" w:lineRule="auto"/>
      </w:pPr>
      <w:r>
        <w:rPr>
          <w:rFonts w:ascii="Times New Roman" w:hAnsi="Times New Roman"/>
          <w:b/>
          <w:color w:val="000000"/>
          <w:sz w:val="24"/>
        </w:rPr>
        <w:t>2. ROADMAP TAHAP DEMI TAHAP (STEP-BY-STEP WORKFLOW)</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58"/>
        <w:gridCol w:w="1758"/>
        <w:gridCol w:w="1758"/>
        <w:gridCol w:w="1758"/>
        <w:gridCol w:w="1758"/>
      </w:tblGrid>
      <w:tr>
        <w:tc>
          <w:tcPr>
            <w:tcW w:type="dxa" w:w="1020"/>
            <w:shd w:fill="D9D9D9"/>
            <w:tcMar>
              <w:top w:w="90" w:type="dxa"/>
              <w:bottom w:w="90" w:type="dxa"/>
              <w:left w:w="110" w:type="dxa"/>
              <w:right w:w="110" w:type="dxa"/>
            </w:tcMar>
          </w:tcPr>
          <w:p>
            <w:pPr>
              <w:spacing w:after="0"/>
              <w:jc w:val="center"/>
            </w:pPr>
            <w:r>
              <w:rPr>
                <w:rFonts w:ascii="Times New Roman" w:hAnsi="Times New Roman"/>
                <w:b/>
                <w:color w:val="000000"/>
                <w:sz w:val="19"/>
              </w:rPr>
              <w:t>Fase</w:t>
            </w:r>
          </w:p>
        </w:tc>
        <w:tc>
          <w:tcPr>
            <w:tcW w:type="dxa" w:w="2551"/>
            <w:shd w:fill="D9D9D9"/>
            <w:tcMar>
              <w:top w:w="90" w:type="dxa"/>
              <w:bottom w:w="90" w:type="dxa"/>
              <w:left w:w="110" w:type="dxa"/>
              <w:right w:w="110" w:type="dxa"/>
            </w:tcMar>
          </w:tcPr>
          <w:p>
            <w:pPr>
              <w:spacing w:after="0"/>
              <w:jc w:val="center"/>
            </w:pPr>
            <w:r>
              <w:rPr>
                <w:rFonts w:ascii="Times New Roman" w:hAnsi="Times New Roman"/>
                <w:b/>
                <w:color w:val="000000"/>
                <w:sz w:val="19"/>
              </w:rPr>
              <w:t>Tahapan Kegiatan</w:t>
            </w:r>
          </w:p>
        </w:tc>
        <w:tc>
          <w:tcPr>
            <w:tcW w:type="dxa" w:w="2381"/>
            <w:shd w:fill="D9D9D9"/>
            <w:tcMar>
              <w:top w:w="90" w:type="dxa"/>
              <w:bottom w:w="90" w:type="dxa"/>
              <w:left w:w="110" w:type="dxa"/>
              <w:right w:w="110" w:type="dxa"/>
            </w:tcMar>
          </w:tcPr>
          <w:p>
            <w:pPr>
              <w:spacing w:after="0"/>
              <w:jc w:val="center"/>
            </w:pPr>
            <w:r>
              <w:rPr>
                <w:rFonts w:ascii="Times New Roman" w:hAnsi="Times New Roman"/>
                <w:b/>
                <w:color w:val="000000"/>
                <w:sz w:val="19"/>
              </w:rPr>
              <w:t>Dokumen Output</w:t>
            </w:r>
          </w:p>
        </w:tc>
        <w:tc>
          <w:tcPr>
            <w:tcW w:type="dxa" w:w="1587"/>
            <w:shd w:fill="D9D9D9"/>
            <w:tcMar>
              <w:top w:w="90" w:type="dxa"/>
              <w:bottom w:w="90" w:type="dxa"/>
              <w:left w:w="110" w:type="dxa"/>
              <w:right w:w="110" w:type="dxa"/>
            </w:tcMar>
          </w:tcPr>
          <w:p>
            <w:pPr>
              <w:spacing w:after="0"/>
              <w:jc w:val="center"/>
            </w:pPr>
            <w:r>
              <w:rPr>
                <w:rFonts w:ascii="Times New Roman" w:hAnsi="Times New Roman"/>
                <w:b/>
                <w:color w:val="000000"/>
                <w:sz w:val="19"/>
              </w:rPr>
              <w:t>Penanggung Jawab</w:t>
            </w:r>
          </w:p>
        </w:tc>
        <w:tc>
          <w:tcPr>
            <w:tcW w:type="dxa" w:w="1247"/>
            <w:shd w:fill="D9D9D9"/>
            <w:tcMar>
              <w:top w:w="90" w:type="dxa"/>
              <w:bottom w:w="90" w:type="dxa"/>
              <w:left w:w="110" w:type="dxa"/>
              <w:right w:w="110" w:type="dxa"/>
            </w:tcMar>
          </w:tcPr>
          <w:p>
            <w:pPr>
              <w:spacing w:after="0"/>
              <w:jc w:val="center"/>
            </w:pPr>
            <w:r>
              <w:rPr>
                <w:rFonts w:ascii="Times New Roman" w:hAnsi="Times New Roman"/>
                <w:b/>
                <w:color w:val="000000"/>
                <w:sz w:val="19"/>
              </w:rPr>
              <w:t>Estimasi Waktu</w:t>
            </w:r>
          </w:p>
        </w:tc>
      </w:tr>
      <w:tr>
        <w:tc>
          <w:tcPr>
            <w:tcW w:type="dxa" w:w="1020"/>
            <w:tcMar>
              <w:top w:w="70" w:type="dxa"/>
              <w:bottom w:w="70" w:type="dxa"/>
              <w:left w:w="90" w:type="dxa"/>
              <w:right w:w="90" w:type="dxa"/>
            </w:tcMar>
          </w:tcPr>
          <w:p>
            <w:pPr>
              <w:spacing w:after="0"/>
              <w:jc w:val="left"/>
            </w:pPr>
            <w:r>
              <w:rPr>
                <w:rFonts w:ascii="Times New Roman" w:hAnsi="Times New Roman"/>
                <w:color w:val="000000"/>
                <w:sz w:val="18"/>
              </w:rPr>
              <w:t>Fase 0</w:t>
            </w:r>
          </w:p>
        </w:tc>
        <w:tc>
          <w:tcPr>
            <w:tcW w:type="dxa" w:w="2551"/>
            <w:tcMar>
              <w:top w:w="70" w:type="dxa"/>
              <w:bottom w:w="70" w:type="dxa"/>
              <w:left w:w="90" w:type="dxa"/>
              <w:right w:w="90" w:type="dxa"/>
            </w:tcMar>
          </w:tcPr>
          <w:p>
            <w:pPr>
              <w:spacing w:after="0"/>
              <w:jc w:val="left"/>
            </w:pPr>
            <w:r>
              <w:rPr>
                <w:rFonts w:ascii="Times New Roman" w:hAnsi="Times New Roman"/>
                <w:color w:val="000000"/>
                <w:sz w:val="18"/>
              </w:rPr>
              <w:t>Legalitas Badan Usaha PT Perorangan &amp; OSS RBA</w:t>
            </w:r>
          </w:p>
        </w:tc>
        <w:tc>
          <w:tcPr>
            <w:tcW w:type="dxa" w:w="2381"/>
            <w:tcMar>
              <w:top w:w="70" w:type="dxa"/>
              <w:bottom w:w="70" w:type="dxa"/>
              <w:left w:w="90" w:type="dxa"/>
              <w:right w:w="90" w:type="dxa"/>
            </w:tcMar>
          </w:tcPr>
          <w:p>
            <w:pPr>
              <w:spacing w:after="0"/>
              <w:jc w:val="left"/>
            </w:pPr>
            <w:r>
              <w:rPr>
                <w:rFonts w:ascii="Times New Roman" w:hAnsi="Times New Roman"/>
                <w:color w:val="000000"/>
                <w:sz w:val="18"/>
              </w:rPr>
              <w:t>Sertifikat AHU, NPWP PT, NIB KBLI 20231, SPPL</w:t>
            </w:r>
          </w:p>
        </w:tc>
        <w:tc>
          <w:tcPr>
            <w:tcW w:type="dxa" w:w="1587"/>
            <w:tcMar>
              <w:top w:w="70" w:type="dxa"/>
              <w:bottom w:w="70" w:type="dxa"/>
              <w:left w:w="90" w:type="dxa"/>
              <w:right w:w="90" w:type="dxa"/>
            </w:tcMar>
          </w:tcPr>
          <w:p>
            <w:pPr>
              <w:spacing w:after="0"/>
              <w:jc w:val="left"/>
            </w:pPr>
            <w:r>
              <w:rPr>
                <w:rFonts w:ascii="Times New Roman" w:hAnsi="Times New Roman"/>
                <w:color w:val="000000"/>
                <w:sz w:val="18"/>
              </w:rPr>
              <w:t>Direktur</w:t>
            </w:r>
          </w:p>
        </w:tc>
        <w:tc>
          <w:tcPr>
            <w:tcW w:type="dxa" w:w="1247"/>
            <w:tcMar>
              <w:top w:w="70" w:type="dxa"/>
              <w:bottom w:w="70" w:type="dxa"/>
              <w:left w:w="90" w:type="dxa"/>
              <w:right w:w="90" w:type="dxa"/>
            </w:tcMar>
          </w:tcPr>
          <w:p>
            <w:pPr>
              <w:spacing w:after="0"/>
              <w:jc w:val="left"/>
            </w:pPr>
            <w:r>
              <w:rPr>
                <w:rFonts w:ascii="Times New Roman" w:hAnsi="Times New Roman"/>
                <w:color w:val="000000"/>
                <w:sz w:val="18"/>
              </w:rPr>
              <w:t>Minggu 1</w:t>
            </w:r>
          </w:p>
        </w:tc>
      </w:tr>
      <w:tr>
        <w:tc>
          <w:tcPr>
            <w:tcW w:type="dxa" w:w="1020"/>
            <w:shd w:fill="F7F7F7"/>
            <w:tcMar>
              <w:top w:w="70" w:type="dxa"/>
              <w:bottom w:w="70" w:type="dxa"/>
              <w:left w:w="90" w:type="dxa"/>
              <w:right w:w="90" w:type="dxa"/>
            </w:tcMar>
          </w:tcPr>
          <w:p>
            <w:pPr>
              <w:spacing w:after="0"/>
              <w:jc w:val="left"/>
            </w:pPr>
            <w:r>
              <w:rPr>
                <w:rFonts w:ascii="Times New Roman" w:hAnsi="Times New Roman"/>
                <w:color w:val="000000"/>
                <w:sz w:val="18"/>
              </w:rPr>
              <w:t>Fase 1</w:t>
            </w:r>
          </w:p>
        </w:tc>
        <w:tc>
          <w:tcPr>
            <w:tcW w:type="dxa" w:w="2551"/>
            <w:shd w:fill="F7F7F7"/>
            <w:tcMar>
              <w:top w:w="70" w:type="dxa"/>
              <w:bottom w:w="70" w:type="dxa"/>
              <w:left w:w="90" w:type="dxa"/>
              <w:right w:w="90" w:type="dxa"/>
            </w:tcMar>
          </w:tcPr>
          <w:p>
            <w:pPr>
              <w:spacing w:after="0"/>
              <w:jc w:val="left"/>
            </w:pPr>
            <w:r>
              <w:rPr>
                <w:rFonts w:ascii="Times New Roman" w:hAnsi="Times New Roman"/>
                <w:color w:val="000000"/>
                <w:sz w:val="18"/>
              </w:rPr>
              <w:t>Penyediaan Tenaga Ahli PJT &amp; Penataan Sarana CPKRTB</w:t>
            </w:r>
          </w:p>
        </w:tc>
        <w:tc>
          <w:tcPr>
            <w:tcW w:type="dxa" w:w="2381"/>
            <w:shd w:fill="F7F7F7"/>
            <w:tcMar>
              <w:top w:w="70" w:type="dxa"/>
              <w:bottom w:w="70" w:type="dxa"/>
              <w:left w:w="90" w:type="dxa"/>
              <w:right w:w="90" w:type="dxa"/>
            </w:tcMar>
          </w:tcPr>
          <w:p>
            <w:pPr>
              <w:spacing w:after="0"/>
              <w:jc w:val="left"/>
            </w:pPr>
            <w:r>
              <w:rPr>
                <w:rFonts w:ascii="Times New Roman" w:hAnsi="Times New Roman"/>
                <w:color w:val="000000"/>
                <w:sz w:val="18"/>
              </w:rPr>
              <w:t>Surat Penunjukan PJT, Ijazah/STRTTK, Layout 2D</w:t>
            </w:r>
          </w:p>
        </w:tc>
        <w:tc>
          <w:tcPr>
            <w:tcW w:type="dxa" w:w="1587"/>
            <w:shd w:fill="F7F7F7"/>
            <w:tcMar>
              <w:top w:w="70" w:type="dxa"/>
              <w:bottom w:w="70" w:type="dxa"/>
              <w:left w:w="90" w:type="dxa"/>
              <w:right w:w="90" w:type="dxa"/>
            </w:tcMar>
          </w:tcPr>
          <w:p>
            <w:pPr>
              <w:spacing w:after="0"/>
              <w:jc w:val="left"/>
            </w:pPr>
            <w:r>
              <w:rPr>
                <w:rFonts w:ascii="Times New Roman" w:hAnsi="Times New Roman"/>
                <w:color w:val="000000"/>
                <w:sz w:val="18"/>
              </w:rPr>
              <w:t>Direktur &amp; PJT</w:t>
            </w:r>
          </w:p>
        </w:tc>
        <w:tc>
          <w:tcPr>
            <w:tcW w:type="dxa" w:w="1247"/>
            <w:shd w:fill="F7F7F7"/>
            <w:tcMar>
              <w:top w:w="70" w:type="dxa"/>
              <w:bottom w:w="70" w:type="dxa"/>
              <w:left w:w="90" w:type="dxa"/>
              <w:right w:w="90" w:type="dxa"/>
            </w:tcMar>
          </w:tcPr>
          <w:p>
            <w:pPr>
              <w:spacing w:after="0"/>
              <w:jc w:val="left"/>
            </w:pPr>
            <w:r>
              <w:rPr>
                <w:rFonts w:ascii="Times New Roman" w:hAnsi="Times New Roman"/>
                <w:color w:val="000000"/>
                <w:sz w:val="18"/>
              </w:rPr>
              <w:t>Minggu 2 - 3</w:t>
            </w:r>
          </w:p>
        </w:tc>
      </w:tr>
      <w:tr>
        <w:tc>
          <w:tcPr>
            <w:tcW w:type="dxa" w:w="1020"/>
            <w:tcMar>
              <w:top w:w="70" w:type="dxa"/>
              <w:bottom w:w="70" w:type="dxa"/>
              <w:left w:w="90" w:type="dxa"/>
              <w:right w:w="90" w:type="dxa"/>
            </w:tcMar>
          </w:tcPr>
          <w:p>
            <w:pPr>
              <w:spacing w:after="0"/>
              <w:jc w:val="left"/>
            </w:pPr>
            <w:r>
              <w:rPr>
                <w:rFonts w:ascii="Times New Roman" w:hAnsi="Times New Roman"/>
                <w:color w:val="000000"/>
                <w:sz w:val="18"/>
              </w:rPr>
              <w:t>Fase 2</w:t>
            </w:r>
          </w:p>
        </w:tc>
        <w:tc>
          <w:tcPr>
            <w:tcW w:type="dxa" w:w="2551"/>
            <w:tcMar>
              <w:top w:w="70" w:type="dxa"/>
              <w:bottom w:w="70" w:type="dxa"/>
              <w:left w:w="90" w:type="dxa"/>
              <w:right w:w="90" w:type="dxa"/>
            </w:tcMar>
          </w:tcPr>
          <w:p>
            <w:pPr>
              <w:spacing w:after="0"/>
              <w:jc w:val="left"/>
            </w:pPr>
            <w:r>
              <w:rPr>
                <w:rFonts w:ascii="Times New Roman" w:hAnsi="Times New Roman"/>
                <w:color w:val="000000"/>
                <w:sz w:val="18"/>
              </w:rPr>
              <w:t>Pengajuan Sertifikat Standar Produksi PKRT ke Kemenkes</w:t>
            </w:r>
          </w:p>
        </w:tc>
        <w:tc>
          <w:tcPr>
            <w:tcW w:type="dxa" w:w="2381"/>
            <w:tcMar>
              <w:top w:w="70" w:type="dxa"/>
              <w:bottom w:w="70" w:type="dxa"/>
              <w:left w:w="90" w:type="dxa"/>
              <w:right w:w="90" w:type="dxa"/>
            </w:tcMar>
          </w:tcPr>
          <w:p>
            <w:pPr>
              <w:spacing w:after="0"/>
              <w:jc w:val="left"/>
            </w:pPr>
            <w:r>
              <w:rPr>
                <w:rFonts w:ascii="Times New Roman" w:hAnsi="Times New Roman"/>
                <w:color w:val="000000"/>
                <w:sz w:val="18"/>
              </w:rPr>
              <w:t>Sertifikat Produksi PKRT (e-Farmalkes)</w:t>
            </w:r>
          </w:p>
        </w:tc>
        <w:tc>
          <w:tcPr>
            <w:tcW w:type="dxa" w:w="1587"/>
            <w:tcMar>
              <w:top w:w="70" w:type="dxa"/>
              <w:bottom w:w="70" w:type="dxa"/>
              <w:left w:w="90" w:type="dxa"/>
              <w:right w:w="90" w:type="dxa"/>
            </w:tcMar>
          </w:tcPr>
          <w:p>
            <w:pPr>
              <w:spacing w:after="0"/>
              <w:jc w:val="left"/>
            </w:pPr>
            <w:r>
              <w:rPr>
                <w:rFonts w:ascii="Times New Roman" w:hAnsi="Times New Roman"/>
                <w:color w:val="000000"/>
                <w:sz w:val="18"/>
              </w:rPr>
              <w:t>PJT &amp; Direktur</w:t>
            </w:r>
          </w:p>
        </w:tc>
        <w:tc>
          <w:tcPr>
            <w:tcW w:type="dxa" w:w="1247"/>
            <w:tcMar>
              <w:top w:w="70" w:type="dxa"/>
              <w:bottom w:w="70" w:type="dxa"/>
              <w:left w:w="90" w:type="dxa"/>
              <w:right w:w="90" w:type="dxa"/>
            </w:tcMar>
          </w:tcPr>
          <w:p>
            <w:pPr>
              <w:spacing w:after="0"/>
              <w:jc w:val="left"/>
            </w:pPr>
            <w:r>
              <w:rPr>
                <w:rFonts w:ascii="Times New Roman" w:hAnsi="Times New Roman"/>
                <w:color w:val="000000"/>
                <w:sz w:val="18"/>
              </w:rPr>
              <w:t>Minggu 3 - 5</w:t>
            </w:r>
          </w:p>
        </w:tc>
      </w:tr>
      <w:tr>
        <w:tc>
          <w:tcPr>
            <w:tcW w:type="dxa" w:w="1020"/>
            <w:shd w:fill="F7F7F7"/>
            <w:tcMar>
              <w:top w:w="70" w:type="dxa"/>
              <w:bottom w:w="70" w:type="dxa"/>
              <w:left w:w="90" w:type="dxa"/>
              <w:right w:w="90" w:type="dxa"/>
            </w:tcMar>
          </w:tcPr>
          <w:p>
            <w:pPr>
              <w:spacing w:after="0"/>
              <w:jc w:val="left"/>
            </w:pPr>
            <w:r>
              <w:rPr>
                <w:rFonts w:ascii="Times New Roman" w:hAnsi="Times New Roman"/>
                <w:color w:val="000000"/>
                <w:sz w:val="18"/>
              </w:rPr>
              <w:t>Fase 3</w:t>
            </w:r>
          </w:p>
        </w:tc>
        <w:tc>
          <w:tcPr>
            <w:tcW w:type="dxa" w:w="2551"/>
            <w:shd w:fill="F7F7F7"/>
            <w:tcMar>
              <w:top w:w="70" w:type="dxa"/>
              <w:bottom w:w="70" w:type="dxa"/>
              <w:left w:w="90" w:type="dxa"/>
              <w:right w:w="90" w:type="dxa"/>
            </w:tcMar>
          </w:tcPr>
          <w:p>
            <w:pPr>
              <w:spacing w:after="0"/>
              <w:jc w:val="left"/>
            </w:pPr>
            <w:r>
              <w:rPr>
                <w:rFonts w:ascii="Times New Roman" w:hAnsi="Times New Roman"/>
                <w:color w:val="000000"/>
                <w:sz w:val="18"/>
              </w:rPr>
              <w:t>Penyiapan Kerja Sama Makloon &amp; Registrasi HKI Klien</w:t>
            </w:r>
          </w:p>
        </w:tc>
        <w:tc>
          <w:tcPr>
            <w:tcW w:type="dxa" w:w="2381"/>
            <w:shd w:fill="F7F7F7"/>
            <w:tcMar>
              <w:top w:w="70" w:type="dxa"/>
              <w:bottom w:w="70" w:type="dxa"/>
              <w:left w:w="90" w:type="dxa"/>
              <w:right w:w="90" w:type="dxa"/>
            </w:tcMar>
          </w:tcPr>
          <w:p>
            <w:pPr>
              <w:spacing w:after="0"/>
              <w:jc w:val="left"/>
            </w:pPr>
            <w:r>
              <w:rPr>
                <w:rFonts w:ascii="Times New Roman" w:hAnsi="Times New Roman"/>
                <w:color w:val="000000"/>
                <w:sz w:val="18"/>
              </w:rPr>
              <w:t>Kontrak Makloon Notariil &amp; Bukti DJKI Merek</w:t>
            </w:r>
          </w:p>
        </w:tc>
        <w:tc>
          <w:tcPr>
            <w:tcW w:type="dxa" w:w="1587"/>
            <w:shd w:fill="F7F7F7"/>
            <w:tcMar>
              <w:top w:w="70" w:type="dxa"/>
              <w:bottom w:w="70" w:type="dxa"/>
              <w:left w:w="90" w:type="dxa"/>
              <w:right w:w="90" w:type="dxa"/>
            </w:tcMar>
          </w:tcPr>
          <w:p>
            <w:pPr>
              <w:spacing w:after="0"/>
              <w:jc w:val="left"/>
            </w:pPr>
            <w:r>
              <w:rPr>
                <w:rFonts w:ascii="Times New Roman" w:hAnsi="Times New Roman"/>
                <w:color w:val="000000"/>
                <w:sz w:val="18"/>
              </w:rPr>
              <w:t>Direktur &amp; Legal Mitra</w:t>
            </w:r>
          </w:p>
        </w:tc>
        <w:tc>
          <w:tcPr>
            <w:tcW w:type="dxa" w:w="1247"/>
            <w:shd w:fill="F7F7F7"/>
            <w:tcMar>
              <w:top w:w="70" w:type="dxa"/>
              <w:bottom w:w="70" w:type="dxa"/>
              <w:left w:w="90" w:type="dxa"/>
              <w:right w:w="90" w:type="dxa"/>
            </w:tcMar>
          </w:tcPr>
          <w:p>
            <w:pPr>
              <w:spacing w:after="0"/>
              <w:jc w:val="left"/>
            </w:pPr>
            <w:r>
              <w:rPr>
                <w:rFonts w:ascii="Times New Roman" w:hAnsi="Times New Roman"/>
                <w:color w:val="000000"/>
                <w:sz w:val="18"/>
              </w:rPr>
              <w:t>Minggu 4 - 5</w:t>
            </w:r>
          </w:p>
        </w:tc>
      </w:tr>
      <w:tr>
        <w:tc>
          <w:tcPr>
            <w:tcW w:type="dxa" w:w="1020"/>
            <w:tcMar>
              <w:top w:w="70" w:type="dxa"/>
              <w:bottom w:w="70" w:type="dxa"/>
              <w:left w:w="90" w:type="dxa"/>
              <w:right w:w="90" w:type="dxa"/>
            </w:tcMar>
          </w:tcPr>
          <w:p>
            <w:pPr>
              <w:spacing w:after="0"/>
              <w:jc w:val="left"/>
            </w:pPr>
            <w:r>
              <w:rPr>
                <w:rFonts w:ascii="Times New Roman" w:hAnsi="Times New Roman"/>
                <w:color w:val="000000"/>
                <w:sz w:val="18"/>
              </w:rPr>
              <w:t>Fase 4</w:t>
            </w:r>
          </w:p>
        </w:tc>
        <w:tc>
          <w:tcPr>
            <w:tcW w:type="dxa" w:w="2551"/>
            <w:tcMar>
              <w:top w:w="70" w:type="dxa"/>
              <w:bottom w:w="70" w:type="dxa"/>
              <w:left w:w="90" w:type="dxa"/>
              <w:right w:w="90" w:type="dxa"/>
            </w:tcMar>
          </w:tcPr>
          <w:p>
            <w:pPr>
              <w:spacing w:after="0"/>
              <w:jc w:val="left"/>
            </w:pPr>
            <w:r>
              <w:rPr>
                <w:rFonts w:ascii="Times New Roman" w:hAnsi="Times New Roman"/>
                <w:color w:val="000000"/>
                <w:sz w:val="18"/>
              </w:rPr>
              <w:t>Riset Formula, Trial Batch &amp; Uji Laboratorium Terakreditasi</w:t>
            </w:r>
          </w:p>
        </w:tc>
        <w:tc>
          <w:tcPr>
            <w:tcW w:type="dxa" w:w="2381"/>
            <w:tcMar>
              <w:top w:w="70" w:type="dxa"/>
              <w:bottom w:w="70" w:type="dxa"/>
              <w:left w:w="90" w:type="dxa"/>
              <w:right w:w="90" w:type="dxa"/>
            </w:tcMar>
          </w:tcPr>
          <w:p>
            <w:pPr>
              <w:spacing w:after="0"/>
              <w:jc w:val="left"/>
            </w:pPr>
            <w:r>
              <w:rPr>
                <w:rFonts w:ascii="Times New Roman" w:hAnsi="Times New Roman"/>
                <w:color w:val="000000"/>
                <w:sz w:val="18"/>
              </w:rPr>
              <w:t>CoA Bahan Baku, MSDS, Hasil Uji Lab KAN</w:t>
            </w:r>
          </w:p>
        </w:tc>
        <w:tc>
          <w:tcPr>
            <w:tcW w:type="dxa" w:w="1587"/>
            <w:tcMar>
              <w:top w:w="70" w:type="dxa"/>
              <w:bottom w:w="70" w:type="dxa"/>
              <w:left w:w="90" w:type="dxa"/>
              <w:right w:w="90" w:type="dxa"/>
            </w:tcMar>
          </w:tcPr>
          <w:p>
            <w:pPr>
              <w:spacing w:after="0"/>
              <w:jc w:val="left"/>
            </w:pPr>
            <w:r>
              <w:rPr>
                <w:rFonts w:ascii="Times New Roman" w:hAnsi="Times New Roman"/>
                <w:color w:val="000000"/>
                <w:sz w:val="18"/>
              </w:rPr>
              <w:t>PJT &amp; Lab Eksternal</w:t>
            </w:r>
          </w:p>
        </w:tc>
        <w:tc>
          <w:tcPr>
            <w:tcW w:type="dxa" w:w="1247"/>
            <w:tcMar>
              <w:top w:w="70" w:type="dxa"/>
              <w:bottom w:w="70" w:type="dxa"/>
              <w:left w:w="90" w:type="dxa"/>
              <w:right w:w="90" w:type="dxa"/>
            </w:tcMar>
          </w:tcPr>
          <w:p>
            <w:pPr>
              <w:spacing w:after="0"/>
              <w:jc w:val="left"/>
            </w:pPr>
            <w:r>
              <w:rPr>
                <w:rFonts w:ascii="Times New Roman" w:hAnsi="Times New Roman"/>
                <w:color w:val="000000"/>
                <w:sz w:val="18"/>
              </w:rPr>
              <w:t>Minggu 5 - 7</w:t>
            </w:r>
          </w:p>
        </w:tc>
      </w:tr>
      <w:tr>
        <w:tc>
          <w:tcPr>
            <w:tcW w:type="dxa" w:w="1020"/>
            <w:shd w:fill="F7F7F7"/>
            <w:tcMar>
              <w:top w:w="70" w:type="dxa"/>
              <w:bottom w:w="70" w:type="dxa"/>
              <w:left w:w="90" w:type="dxa"/>
              <w:right w:w="90" w:type="dxa"/>
            </w:tcMar>
          </w:tcPr>
          <w:p>
            <w:pPr>
              <w:spacing w:after="0"/>
              <w:jc w:val="left"/>
            </w:pPr>
            <w:r>
              <w:rPr>
                <w:rFonts w:ascii="Times New Roman" w:hAnsi="Times New Roman"/>
                <w:color w:val="000000"/>
                <w:sz w:val="18"/>
              </w:rPr>
              <w:t>Fase 5</w:t>
            </w:r>
          </w:p>
        </w:tc>
        <w:tc>
          <w:tcPr>
            <w:tcW w:type="dxa" w:w="2551"/>
            <w:shd w:fill="F7F7F7"/>
            <w:tcMar>
              <w:top w:w="70" w:type="dxa"/>
              <w:bottom w:w="70" w:type="dxa"/>
              <w:left w:w="90" w:type="dxa"/>
              <w:right w:w="90" w:type="dxa"/>
            </w:tcMar>
          </w:tcPr>
          <w:p>
            <w:pPr>
              <w:spacing w:after="0"/>
              <w:jc w:val="left"/>
            </w:pPr>
            <w:r>
              <w:rPr>
                <w:rFonts w:ascii="Times New Roman" w:hAnsi="Times New Roman"/>
                <w:color w:val="000000"/>
                <w:sz w:val="18"/>
              </w:rPr>
              <w:t>Pendaftaran Izin Edar KEMENKES RI PKD (e-Reg PKRT)</w:t>
            </w:r>
          </w:p>
        </w:tc>
        <w:tc>
          <w:tcPr>
            <w:tcW w:type="dxa" w:w="2381"/>
            <w:shd w:fill="F7F7F7"/>
            <w:tcMar>
              <w:top w:w="70" w:type="dxa"/>
              <w:bottom w:w="70" w:type="dxa"/>
              <w:left w:w="90" w:type="dxa"/>
              <w:right w:w="90" w:type="dxa"/>
            </w:tcMar>
          </w:tcPr>
          <w:p>
            <w:pPr>
              <w:spacing w:after="0"/>
              <w:jc w:val="left"/>
            </w:pPr>
            <w:r>
              <w:rPr>
                <w:rFonts w:ascii="Times New Roman" w:hAnsi="Times New Roman"/>
                <w:color w:val="000000"/>
                <w:sz w:val="18"/>
              </w:rPr>
              <w:t>Nomor Izin Edar KEMENKES RI PKD</w:t>
            </w:r>
          </w:p>
        </w:tc>
        <w:tc>
          <w:tcPr>
            <w:tcW w:type="dxa" w:w="1587"/>
            <w:shd w:fill="F7F7F7"/>
            <w:tcMar>
              <w:top w:w="70" w:type="dxa"/>
              <w:bottom w:w="70" w:type="dxa"/>
              <w:left w:w="90" w:type="dxa"/>
              <w:right w:w="90" w:type="dxa"/>
            </w:tcMar>
          </w:tcPr>
          <w:p>
            <w:pPr>
              <w:spacing w:after="0"/>
              <w:jc w:val="left"/>
            </w:pPr>
            <w:r>
              <w:rPr>
                <w:rFonts w:ascii="Times New Roman" w:hAnsi="Times New Roman"/>
                <w:color w:val="000000"/>
                <w:sz w:val="18"/>
              </w:rPr>
              <w:t>PJT via e-Farmalkes</w:t>
            </w:r>
          </w:p>
        </w:tc>
        <w:tc>
          <w:tcPr>
            <w:tcW w:type="dxa" w:w="1247"/>
            <w:shd w:fill="F7F7F7"/>
            <w:tcMar>
              <w:top w:w="70" w:type="dxa"/>
              <w:bottom w:w="70" w:type="dxa"/>
              <w:left w:w="90" w:type="dxa"/>
              <w:right w:w="90" w:type="dxa"/>
            </w:tcMar>
          </w:tcPr>
          <w:p>
            <w:pPr>
              <w:spacing w:after="0"/>
              <w:jc w:val="left"/>
            </w:pPr>
            <w:r>
              <w:rPr>
                <w:rFonts w:ascii="Times New Roman" w:hAnsi="Times New Roman"/>
                <w:color w:val="000000"/>
                <w:sz w:val="18"/>
              </w:rPr>
              <w:t>Minggu 7 - 10</w:t>
            </w:r>
          </w:p>
        </w:tc>
      </w:tr>
      <w:tr>
        <w:tc>
          <w:tcPr>
            <w:tcW w:type="dxa" w:w="1020"/>
            <w:tcMar>
              <w:top w:w="70" w:type="dxa"/>
              <w:bottom w:w="70" w:type="dxa"/>
              <w:left w:w="90" w:type="dxa"/>
              <w:right w:w="90" w:type="dxa"/>
            </w:tcMar>
          </w:tcPr>
          <w:p>
            <w:pPr>
              <w:spacing w:after="0"/>
              <w:jc w:val="left"/>
            </w:pPr>
            <w:r>
              <w:rPr>
                <w:rFonts w:ascii="Times New Roman" w:hAnsi="Times New Roman"/>
                <w:color w:val="000000"/>
                <w:sz w:val="18"/>
              </w:rPr>
              <w:t>Fase 6</w:t>
            </w:r>
          </w:p>
        </w:tc>
        <w:tc>
          <w:tcPr>
            <w:tcW w:type="dxa" w:w="2551"/>
            <w:tcMar>
              <w:top w:w="70" w:type="dxa"/>
              <w:bottom w:w="70" w:type="dxa"/>
              <w:left w:w="90" w:type="dxa"/>
              <w:right w:w="90" w:type="dxa"/>
            </w:tcMar>
          </w:tcPr>
          <w:p>
            <w:pPr>
              <w:spacing w:after="0"/>
              <w:jc w:val="left"/>
            </w:pPr>
            <w:r>
              <w:rPr>
                <w:rFonts w:ascii="Times New Roman" w:hAnsi="Times New Roman"/>
                <w:color w:val="000000"/>
                <w:sz w:val="18"/>
              </w:rPr>
              <w:t>Implementasi ISO 9001:2015, Komersialisasi &amp; TKDN-IK</w:t>
            </w:r>
          </w:p>
        </w:tc>
        <w:tc>
          <w:tcPr>
            <w:tcW w:type="dxa" w:w="2381"/>
            <w:tcMar>
              <w:top w:w="70" w:type="dxa"/>
              <w:bottom w:w="70" w:type="dxa"/>
              <w:left w:w="90" w:type="dxa"/>
              <w:right w:w="90" w:type="dxa"/>
            </w:tcMar>
          </w:tcPr>
          <w:p>
            <w:pPr>
              <w:spacing w:after="0"/>
              <w:jc w:val="left"/>
            </w:pPr>
            <w:r>
              <w:rPr>
                <w:rFonts w:ascii="Times New Roman" w:hAnsi="Times New Roman"/>
                <w:color w:val="000000"/>
                <w:sz w:val="18"/>
              </w:rPr>
              <w:t>Batch Record, CoA Rilis, Sertifikat TKDN Kemenperin</w:t>
            </w:r>
          </w:p>
        </w:tc>
        <w:tc>
          <w:tcPr>
            <w:tcW w:type="dxa" w:w="1587"/>
            <w:tcMar>
              <w:top w:w="70" w:type="dxa"/>
              <w:bottom w:w="70" w:type="dxa"/>
              <w:left w:w="90" w:type="dxa"/>
              <w:right w:w="90" w:type="dxa"/>
            </w:tcMar>
          </w:tcPr>
          <w:p>
            <w:pPr>
              <w:spacing w:after="0"/>
              <w:jc w:val="left"/>
            </w:pPr>
            <w:r>
              <w:rPr>
                <w:rFonts w:ascii="Times New Roman" w:hAnsi="Times New Roman"/>
                <w:color w:val="000000"/>
                <w:sz w:val="18"/>
              </w:rPr>
              <w:t>PJT &amp; Tim Pabrik</w:t>
            </w:r>
          </w:p>
        </w:tc>
        <w:tc>
          <w:tcPr>
            <w:tcW w:type="dxa" w:w="1247"/>
            <w:tcMar>
              <w:top w:w="70" w:type="dxa"/>
              <w:bottom w:w="70" w:type="dxa"/>
              <w:left w:w="90" w:type="dxa"/>
              <w:right w:w="90" w:type="dxa"/>
            </w:tcMar>
          </w:tcPr>
          <w:p>
            <w:pPr>
              <w:spacing w:after="0"/>
              <w:jc w:val="left"/>
            </w:pPr>
            <w:r>
              <w:rPr>
                <w:rFonts w:ascii="Times New Roman" w:hAnsi="Times New Roman"/>
                <w:color w:val="000000"/>
                <w:sz w:val="18"/>
              </w:rPr>
              <w:t>Berkelanjutan</w:t>
            </w:r>
          </w:p>
        </w:tc>
      </w:tr>
    </w:tbl>
    <w:p>
      <w:pPr>
        <w:spacing w:line="276" w:lineRule="auto" w:after="80"/>
      </w:pPr>
    </w:p>
    <w:p>
      <w:pPr>
        <w:keepNext/>
        <w:spacing w:before="240" w:after="80" w:line="276" w:lineRule="auto"/>
      </w:pPr>
      <w:r>
        <w:rPr>
          <w:rFonts w:ascii="Times New Roman" w:hAnsi="Times New Roman"/>
          <w:b/>
          <w:color w:val="000000"/>
          <w:sz w:val="24"/>
        </w:rPr>
        <w:t>3. DETAIL PELAKSANAAN SETIAP FASE</w:t>
      </w:r>
    </w:p>
    <w:p>
      <w:pPr>
        <w:keepNext/>
        <w:spacing w:before="160" w:after="80" w:line="276" w:lineRule="auto"/>
      </w:pPr>
      <w:r>
        <w:rPr>
          <w:rFonts w:ascii="Times New Roman" w:hAnsi="Times New Roman"/>
          <w:b/>
          <w:color w:val="000000"/>
          <w:sz w:val="22"/>
        </w:rPr>
        <w:t>3.1 Fase 0: Pondasi Legalitas Badan Usaha &amp; Tata Ruang</w:t>
      </w:r>
    </w:p>
    <w:p>
      <w:pPr>
        <w:pStyle w:val="ListBullet"/>
        <w:spacing w:after="80" w:line="276" w:lineRule="auto"/>
      </w:pPr>
      <w:r>
        <w:rPr>
          <w:rFonts w:ascii="Times New Roman" w:hAnsi="Times New Roman"/>
          <w:b/>
          <w:color w:val="000000"/>
        </w:rPr>
        <w:t xml:space="preserve">Legalitas PT: </w:t>
      </w:r>
      <w:r>
        <w:rPr>
          <w:rFonts w:ascii="Times New Roman" w:hAnsi="Times New Roman"/>
          <w:color w:val="000000"/>
        </w:rPr>
        <w:t>Mendaftarkan pendirian PT Perorangan melalui portal Ditjen AHU Kemenkumham hingga terbit Surat Pernyataan Pendirian dan Sertifikat AHU.</w:t>
      </w:r>
    </w:p>
    <w:p>
      <w:pPr>
        <w:pStyle w:val="ListBullet"/>
        <w:spacing w:after="80" w:line="276" w:lineRule="auto"/>
      </w:pPr>
      <w:r>
        <w:rPr>
          <w:rFonts w:ascii="Times New Roman" w:hAnsi="Times New Roman"/>
          <w:b/>
          <w:color w:val="000000"/>
        </w:rPr>
        <w:t xml:space="preserve">Perpajakan: </w:t>
      </w:r>
      <w:r>
        <w:rPr>
          <w:rFonts w:ascii="Times New Roman" w:hAnsi="Times New Roman"/>
          <w:color w:val="000000"/>
        </w:rPr>
        <w:t>Membuat NPWP Badan Usaha atas nama PT Perorangan di KPP Pratama / DJP Online.</w:t>
      </w:r>
    </w:p>
    <w:p>
      <w:pPr>
        <w:pStyle w:val="ListBullet"/>
        <w:spacing w:after="80" w:line="276" w:lineRule="auto"/>
      </w:pPr>
      <w:r>
        <w:rPr>
          <w:rFonts w:ascii="Times New Roman" w:hAnsi="Times New Roman"/>
          <w:b/>
          <w:color w:val="000000"/>
        </w:rPr>
        <w:t xml:space="preserve">Perizinan OSS: </w:t>
      </w:r>
      <w:r>
        <w:rPr>
          <w:rFonts w:ascii="Times New Roman" w:hAnsi="Times New Roman"/>
          <w:color w:val="000000"/>
        </w:rPr>
        <w:t>Mendaftarkan akun OSS RBA (oss.go.id) dan memilih KBLI 20231 (Industri Sabun dan Bahan Pembersih Keperluan Rumah Tangga).</w:t>
      </w:r>
    </w:p>
    <w:p>
      <w:pPr>
        <w:pStyle w:val="ListBullet"/>
        <w:spacing w:after="80" w:line="276" w:lineRule="auto"/>
      </w:pPr>
      <w:r>
        <w:rPr>
          <w:rFonts w:ascii="Times New Roman" w:hAnsi="Times New Roman"/>
          <w:b/>
          <w:color w:val="000000"/>
        </w:rPr>
        <w:t xml:space="preserve">Lingkungan: </w:t>
      </w:r>
      <w:r>
        <w:rPr>
          <w:rFonts w:ascii="Times New Roman" w:hAnsi="Times New Roman"/>
          <w:color w:val="000000"/>
        </w:rPr>
        <w:t>Memastikan Kesesuaian Kegiatan Pemanfaatan Ruang (KKPR) dan menerbitkan Surat Pernyataan Kesanggupan Pengelolaan dan Pemantauan Lingkungan Hidup (SPPL) secara otomatis di sistem OSS.</w:t>
      </w:r>
    </w:p>
    <w:p>
      <w:pPr>
        <w:keepNext/>
        <w:spacing w:before="160" w:after="80" w:line="276" w:lineRule="auto"/>
      </w:pPr>
      <w:r>
        <w:rPr>
          <w:rFonts w:ascii="Times New Roman" w:hAnsi="Times New Roman"/>
          <w:b/>
          <w:color w:val="000000"/>
          <w:sz w:val="22"/>
        </w:rPr>
        <w:t>3.2 Fase 1: Penataan Fasilitas Fisik &amp; Pengangkatan PJT</w:t>
      </w:r>
    </w:p>
    <w:p>
      <w:pPr>
        <w:pStyle w:val="ListBullet"/>
        <w:spacing w:after="80" w:line="276" w:lineRule="auto"/>
      </w:pPr>
      <w:r>
        <w:rPr>
          <w:rFonts w:ascii="Times New Roman" w:hAnsi="Times New Roman"/>
          <w:b/>
          <w:color w:val="000000"/>
        </w:rPr>
        <w:t xml:space="preserve">PJT: </w:t>
      </w:r>
      <w:r>
        <w:rPr>
          <w:rFonts w:ascii="Times New Roman" w:hAnsi="Times New Roman"/>
          <w:color w:val="000000"/>
        </w:rPr>
        <w:t>Menunjuk Penanggung Jawab Teknis (PJT) dengan kualifikasi minimal D3/S1 Farmasi, S1 Kimia, atau S1 Teknik Kimia dengan Surat Pernyataan Bekerja Penuh Waktu.</w:t>
      </w:r>
    </w:p>
    <w:p>
      <w:pPr>
        <w:pStyle w:val="ListBullet"/>
        <w:spacing w:after="80" w:line="276" w:lineRule="auto"/>
      </w:pPr>
      <w:r>
        <w:rPr>
          <w:rFonts w:ascii="Times New Roman" w:hAnsi="Times New Roman"/>
          <w:b/>
          <w:color w:val="000000"/>
        </w:rPr>
        <w:t xml:space="preserve">Layout CPKRTB: </w:t>
      </w:r>
      <w:r>
        <w:rPr>
          <w:rFonts w:ascii="Times New Roman" w:hAnsi="Times New Roman"/>
          <w:color w:val="000000"/>
        </w:rPr>
        <w:t>Menata zonasi pabrik menerapkan One-Way Flow: Ruang Ganti/Loker -&gt; Gudang Bahan Baku -&gt; Ruang Timbang -&gt; Ruang Mixing -&gt; Ruang Filling/Kemas Primer -&gt; Ruang Kemas Sekunder -&gt; Gudang Barang Jadi.</w:t>
      </w:r>
    </w:p>
    <w:p>
      <w:pPr>
        <w:pStyle w:val="ListBullet"/>
        <w:spacing w:after="80" w:line="276" w:lineRule="auto"/>
      </w:pPr>
      <w:r>
        <w:rPr>
          <w:rFonts w:ascii="Times New Roman" w:hAnsi="Times New Roman"/>
          <w:b/>
          <w:color w:val="000000"/>
        </w:rPr>
        <w:t xml:space="preserve">Peralatan: </w:t>
      </w:r>
      <w:r>
        <w:rPr>
          <w:rFonts w:ascii="Times New Roman" w:hAnsi="Times New Roman"/>
          <w:color w:val="000000"/>
        </w:rPr>
        <w:t>Menyediakan peralatan utama: Tangki Mixing Stainless Steel/HDPE, Timbangan Digital terkalibrasi, pH Meter Digital, Mesin Filling semi-otomatis/manual, serta APD lengkap.</w:t>
      </w:r>
    </w:p>
    <w:p>
      <w:pPr>
        <w:keepNext/>
        <w:spacing w:before="160" w:after="80" w:line="276" w:lineRule="auto"/>
      </w:pPr>
      <w:r>
        <w:rPr>
          <w:rFonts w:ascii="Times New Roman" w:hAnsi="Times New Roman"/>
          <w:b/>
          <w:color w:val="000000"/>
          <w:sz w:val="22"/>
        </w:rPr>
        <w:t>3.3 Fase 2: Penerbitan Sertifikat Standar Produksi PKRT</w:t>
      </w:r>
    </w:p>
    <w:p>
      <w:pPr>
        <w:pStyle w:val="ListBullet"/>
        <w:spacing w:after="80" w:line="276" w:lineRule="auto"/>
      </w:pPr>
      <w:r>
        <w:rPr>
          <w:rFonts w:ascii="Times New Roman" w:hAnsi="Times New Roman"/>
          <w:b/>
          <w:color w:val="000000"/>
        </w:rPr>
        <w:t xml:space="preserve">Pengajuan: </w:t>
      </w:r>
      <w:r>
        <w:rPr>
          <w:rFonts w:ascii="Times New Roman" w:hAnsi="Times New Roman"/>
          <w:color w:val="000000"/>
        </w:rPr>
        <w:t>Mengajukan permohonan Sertifikat Standar Produksi PKRT melalui sistem e-Farmalkes Kemenkes RI.</w:t>
      </w:r>
    </w:p>
    <w:p>
      <w:pPr>
        <w:pStyle w:val="ListBullet"/>
        <w:spacing w:after="80" w:line="276" w:lineRule="auto"/>
      </w:pPr>
      <w:r>
        <w:rPr>
          <w:rFonts w:ascii="Times New Roman" w:hAnsi="Times New Roman"/>
          <w:b/>
          <w:color w:val="000000"/>
        </w:rPr>
        <w:t xml:space="preserve">Dokumen Pendukung: </w:t>
      </w:r>
      <w:r>
        <w:rPr>
          <w:rFonts w:ascii="Times New Roman" w:hAnsi="Times New Roman"/>
          <w:color w:val="000000"/>
        </w:rPr>
        <w:t>Melampirkan Dokumen Mutu: Manual Mutu, Daftar SOP Sanitasi &amp; Produksi, Denah Layout, Struktur Organisasi, dan Berkas PJT.</w:t>
      </w:r>
    </w:p>
    <w:p>
      <w:pPr>
        <w:pStyle w:val="ListBullet"/>
        <w:spacing w:after="80" w:line="276" w:lineRule="auto"/>
      </w:pPr>
      <w:r>
        <w:rPr>
          <w:rFonts w:ascii="Times New Roman" w:hAnsi="Times New Roman"/>
          <w:b/>
          <w:color w:val="000000"/>
        </w:rPr>
        <w:t xml:space="preserve">Verifikasi: </w:t>
      </w:r>
      <w:r>
        <w:rPr>
          <w:rFonts w:ascii="Times New Roman" w:hAnsi="Times New Roman"/>
          <w:color w:val="000000"/>
        </w:rPr>
        <w:t>Menjalani proses verifikasi dokumen dan/atau visitasi lapangan oleh Dinas Kesehatan / Balai Pengawasan.</w:t>
      </w:r>
    </w:p>
    <w:p>
      <w:pPr>
        <w:keepNext/>
        <w:spacing w:before="160" w:after="80" w:line="276" w:lineRule="auto"/>
      </w:pPr>
      <w:r>
        <w:rPr>
          <w:rFonts w:ascii="Times New Roman" w:hAnsi="Times New Roman"/>
          <w:b/>
          <w:color w:val="000000"/>
          <w:sz w:val="22"/>
        </w:rPr>
        <w:t>3.4 Fase 3: Skema Kontrak Makloon &amp; Kepemilikan Merek</w:t>
      </w:r>
    </w:p>
    <w:p>
      <w:pPr>
        <w:pStyle w:val="ListBullet"/>
        <w:spacing w:after="80" w:line="276" w:lineRule="auto"/>
      </w:pPr>
      <w:r>
        <w:rPr>
          <w:rFonts w:ascii="Times New Roman" w:hAnsi="Times New Roman"/>
          <w:b/>
          <w:color w:val="000000"/>
        </w:rPr>
        <w:t xml:space="preserve">Verifikasi Klien: </w:t>
      </w:r>
      <w:r>
        <w:rPr>
          <w:rFonts w:ascii="Times New Roman" w:hAnsi="Times New Roman"/>
          <w:color w:val="000000"/>
        </w:rPr>
        <w:t>Memverifikasi legalitas PT Mitra / Distributor (Akta, NPWP, NIB KBLI Distribusi 46499).</w:t>
      </w:r>
    </w:p>
    <w:p>
      <w:pPr>
        <w:pStyle w:val="ListBullet"/>
        <w:spacing w:after="80" w:line="276" w:lineRule="auto"/>
      </w:pPr>
      <w:r>
        <w:rPr>
          <w:rFonts w:ascii="Times New Roman" w:hAnsi="Times New Roman"/>
          <w:b/>
          <w:color w:val="000000"/>
        </w:rPr>
        <w:t xml:space="preserve">Merek Dagang: </w:t>
      </w:r>
      <w:r>
        <w:rPr>
          <w:rFonts w:ascii="Times New Roman" w:hAnsi="Times New Roman"/>
          <w:color w:val="000000"/>
        </w:rPr>
        <w:t>Memastikan Merek Dagang milik Mitra telah terdaftar di DJKI Kemenkumham atau minimal memiliki Tanda Terima Pendaftaran DJKI.</w:t>
      </w:r>
    </w:p>
    <w:p>
      <w:pPr>
        <w:pStyle w:val="ListBullet"/>
        <w:spacing w:after="80" w:line="276" w:lineRule="auto"/>
      </w:pPr>
      <w:r>
        <w:rPr>
          <w:rFonts w:ascii="Times New Roman" w:hAnsi="Times New Roman"/>
          <w:b/>
          <w:color w:val="000000"/>
        </w:rPr>
        <w:t xml:space="preserve">Perjanjian: </w:t>
      </w:r>
      <w:r>
        <w:rPr>
          <w:rFonts w:ascii="Times New Roman" w:hAnsi="Times New Roman"/>
          <w:color w:val="000000"/>
        </w:rPr>
        <w:t>Menandatangani Surat Perjanjian Kerja Sama Makloon (Toll Manufacturing Agreement) bermaterai resmi yang memuat hak, kewajiban, formula, dan standar kualitas.</w:t>
      </w:r>
    </w:p>
    <w:p>
      <w:pPr>
        <w:keepNext/>
        <w:spacing w:before="160" w:after="80" w:line="276" w:lineRule="auto"/>
      </w:pPr>
      <w:r>
        <w:rPr>
          <w:rFonts w:ascii="Times New Roman" w:hAnsi="Times New Roman"/>
          <w:b/>
          <w:color w:val="000000"/>
          <w:sz w:val="22"/>
        </w:rPr>
        <w:t>3.5 Fase 4 &amp; 5: Pengujian Laboratorium &amp; Izin Edar Kemenkes RI PKD</w:t>
      </w:r>
    </w:p>
    <w:p>
      <w:pPr>
        <w:pStyle w:val="ListBullet"/>
        <w:spacing w:after="80" w:line="276" w:lineRule="auto"/>
      </w:pPr>
      <w:r>
        <w:rPr>
          <w:rFonts w:ascii="Times New Roman" w:hAnsi="Times New Roman"/>
          <w:b/>
          <w:color w:val="000000"/>
        </w:rPr>
        <w:t xml:space="preserve">Uji Laboratorium: </w:t>
      </w:r>
      <w:r>
        <w:rPr>
          <w:rFonts w:ascii="Times New Roman" w:hAnsi="Times New Roman"/>
          <w:color w:val="000000"/>
        </w:rPr>
        <w:t>Melakukan uji mutu produk jadi di laboratorium terakreditasi KAN (Uji pH, Bobot Jenis, Viskositas, dan Uji Efektivitas Daya Bunuh Kuman untuk Pemutih/Disinfektan).</w:t>
      </w:r>
    </w:p>
    <w:p>
      <w:pPr>
        <w:pStyle w:val="ListBullet"/>
        <w:spacing w:after="80" w:line="276" w:lineRule="auto"/>
      </w:pPr>
      <w:r>
        <w:rPr>
          <w:rFonts w:ascii="Times New Roman" w:hAnsi="Times New Roman"/>
          <w:b/>
          <w:color w:val="000000"/>
        </w:rPr>
        <w:t xml:space="preserve">e-Reg PKRT: </w:t>
      </w:r>
      <w:r>
        <w:rPr>
          <w:rFonts w:ascii="Times New Roman" w:hAnsi="Times New Roman"/>
          <w:color w:val="000000"/>
        </w:rPr>
        <w:t>Mendaftarkan Izin Edar PKRT Dalam Negeri (PKD) melalui portal ereg.farmalkes.kemkes.go.id dengan melampirkan Formula, Sertifikat Produksi, Kontrak Makloon, HKI, CoA, dan Desain Etiket.</w:t>
      </w:r>
    </w:p>
    <w:p>
      <w:pPr>
        <w:pStyle w:val="ListBullet"/>
        <w:spacing w:after="80" w:line="276" w:lineRule="auto"/>
      </w:pPr>
      <w:r>
        <w:rPr>
          <w:rFonts w:ascii="Times New Roman" w:hAnsi="Times New Roman"/>
          <w:b/>
          <w:color w:val="000000"/>
        </w:rPr>
        <w:t xml:space="preserve">Penerbitan NIE: </w:t>
      </w:r>
      <w:r>
        <w:rPr>
          <w:rFonts w:ascii="Times New Roman" w:hAnsi="Times New Roman"/>
          <w:color w:val="000000"/>
        </w:rPr>
        <w:t>Melakukan pembayaran PNBP Kemenkes RI dan memantau verifikasi teknis hingga terbit Sertifikat Izin Edar PKD elektronik.</w:t>
      </w:r>
    </w:p>
    <w:p>
      <w:pPr>
        <w:keepNext/>
        <w:spacing w:before="160" w:after="80" w:line="276" w:lineRule="auto"/>
      </w:pPr>
      <w:r>
        <w:rPr>
          <w:rFonts w:ascii="Times New Roman" w:hAnsi="Times New Roman"/>
          <w:b/>
          <w:color w:val="000000"/>
          <w:sz w:val="22"/>
        </w:rPr>
        <w:t>3.6 Fase 6: Tata Kelola Mutu ISO 9001 &amp; TKDN-IK Kemenperin</w:t>
      </w:r>
    </w:p>
    <w:p>
      <w:pPr>
        <w:pStyle w:val="ListBullet"/>
        <w:spacing w:after="80" w:line="276" w:lineRule="auto"/>
      </w:pPr>
      <w:r>
        <w:rPr>
          <w:rFonts w:ascii="Times New Roman" w:hAnsi="Times New Roman"/>
          <w:b/>
          <w:color w:val="000000"/>
        </w:rPr>
        <w:t xml:space="preserve">Pengendalian Bets: </w:t>
      </w:r>
      <w:r>
        <w:rPr>
          <w:rFonts w:ascii="Times New Roman" w:hAnsi="Times New Roman"/>
          <w:color w:val="000000"/>
        </w:rPr>
        <w:t>Menjalankan sistem Batch Record dan menerbitkan Certificate of Analysis (CoA) untuk setiap pengiriman barang ke distributor.</w:t>
      </w:r>
    </w:p>
    <w:p>
      <w:pPr>
        <w:pStyle w:val="ListBullet"/>
        <w:spacing w:after="80" w:line="276" w:lineRule="auto"/>
      </w:pPr>
      <w:r>
        <w:rPr>
          <w:rFonts w:ascii="Times New Roman" w:hAnsi="Times New Roman"/>
          <w:b/>
          <w:color w:val="000000"/>
        </w:rPr>
        <w:t xml:space="preserve">Sertifikasi TKDN: </w:t>
      </w:r>
      <w:r>
        <w:rPr>
          <w:rFonts w:ascii="Times New Roman" w:hAnsi="Times New Roman"/>
          <w:color w:val="000000"/>
        </w:rPr>
        <w:t>Mendaftarkan akun SIINas Kemenperin dan mengajukan Sertifikasi TKDN-IK (Industri Kecil) secara gratis guna memperluas penetrasi pasar pengadaan barang pemerintah (e-Katalog LKPP).</w:t>
      </w:r>
    </w:p>
    <w:p>
      <w:pPr>
        <w:pStyle w:val="ListBullet"/>
        <w:spacing w:after="80" w:line="276" w:lineRule="auto"/>
      </w:pPr>
      <w:r>
        <w:rPr>
          <w:rFonts w:ascii="Times New Roman" w:hAnsi="Times New Roman"/>
          <w:b/>
          <w:color w:val="000000"/>
        </w:rPr>
        <w:t xml:space="preserve">Pelaporan Berkala: </w:t>
      </w:r>
      <w:r>
        <w:rPr>
          <w:rFonts w:ascii="Times New Roman" w:hAnsi="Times New Roman"/>
          <w:color w:val="000000"/>
        </w:rPr>
        <w:t>Melaporkan realisasi produksi secara berkala melalui e-Report Kemenkes RI.</w:t>
      </w:r>
    </w:p>
    <w:tbl>
      <w:tblPr>
        <w:tblW w:type="auto" w:w="0"/>
        <w:jc w:val="center"/>
        <w:tblLook w:firstColumn="1" w:firstRow="1" w:lastColumn="0" w:lastRow="0" w:noHBand="0" w:noVBand="1" w:val="04A0"/>
        <w:tblBorders>
          <w:top w:val="none" w:sz="0" w:space="0" w:color="FFFFFF"/>
          <w:bottom w:val="none" w:sz="0" w:space="0" w:color="FFFFFF"/>
          <w:insideH w:val="none" w:sz="0" w:space="0" w:color="FFFFFF"/>
          <w:insideV w:val="none" w:sz="0" w:space="0" w:color="FFFFFF"/>
          <w:left w:val="none" w:sz="0" w:space="0" w:color="FFFFFF"/>
          <w:right w:val="none" w:sz="0" w:space="0" w:color="FFFFFF"/>
        </w:tblBorders>
      </w:tblPr>
      <w:tblGrid>
        <w:gridCol w:w="4394"/>
        <w:gridCol w:w="4394"/>
      </w:tblGrid>
      <w:tr>
        <w:tc>
          <w:tcPr>
            <w:tcW w:type="dxa" w:w="4252"/>
          </w:tcPr>
          <w:p>
            <w:pPr>
              <w:spacing w:after="0"/>
              <w:jc w:val="center"/>
            </w:pPr>
            <w:r>
              <w:rPr>
                <w:rFonts w:ascii="Times New Roman" w:hAnsi="Times New Roman"/>
                <w:color w:val="000000"/>
                <w:sz w:val="19"/>
              </w:rPr>
              <w:t>Disiapkan Oleh,</w:t>
              <w:br/>
              <w:t>Penanggung Jawab Teknis (PJT)</w:t>
              <w:br/>
              <w:br/>
              <w:br/>
              <w:br/>
              <w:br/>
              <w:t>( ............................................ )</w:t>
              <w:br/>
              <w:t>Tanggal: ...................................</w:t>
            </w:r>
          </w:p>
        </w:tc>
        <w:tc>
          <w:tcPr>
            <w:tcW w:type="dxa" w:w="4535"/>
          </w:tcPr>
          <w:p>
            <w:pPr>
              <w:spacing w:after="0"/>
              <w:jc w:val="center"/>
            </w:pPr>
            <w:r>
              <w:rPr>
                <w:rFonts w:ascii="Times New Roman" w:hAnsi="Times New Roman"/>
                <w:color w:val="000000"/>
                <w:sz w:val="19"/>
              </w:rPr>
              <w:t>Disetujui Oleh,</w:t>
              <w:br/>
              <w:t>Direktur Perusahaan</w:t>
              <w:br/>
              <w:br/>
              <w:br/>
              <w:br/>
              <w:br/>
              <w:t>( ............................................ )</w:t>
              <w:br/>
              <w:t>Tanggal: ...................................</w:t>
            </w:r>
          </w:p>
        </w:tc>
      </w:tr>
    </w:tbl>
    <w:sectPr w:rsidR="00FC693F" w:rsidRPr="0006063C"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Yerikho Arfensias Effendi</Manager>
  <Company>PT Kediri Chemical Abadi</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01 Panduan Dan Roadmap Persiapan Pabrik Pkrt Iso9001</dc:title>
  <dc:subject>Sistem Manajemen Mutu ISO 9001:2015 &amp; Operasional Bisnis</dc:subject>
  <dc:creator>Yerikho Arfensias Effendi</dc:creator>
  <cp:keywords>PT Kediri Chemical Abadi, ISO 9001, CPKRT, SOP, Manajemen</cp:keywords>
  <dc:description>Dokumen Terkendali PT Kediri Chemical Abadi</dc:description>
  <cp:lastModifiedBy>Yerikho Arfensias Effendi</cp:lastModifiedBy>
  <cp:revision>2</cp:revision>
  <dcterms:created xsi:type="dcterms:W3CDTF">2026-08-10T14:15:14Z</dcterms:created>
  <dcterms:modified xsi:type="dcterms:W3CDTF">2026-08-20T14:30:38Z</dcterms:modified>
  <cp:category>Dokumen Manajemen KCA</cp:category>
</cp:coreProperties>
</file>