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197"/>
        <w:gridCol w:w="2197"/>
        <w:gridCol w:w="2197"/>
        <w:gridCol w:w="2197"/>
      </w:tblGrid>
      <w:tr>
        <w:tc>
          <w:tcPr>
            <w:tcW w:type="dxa" w:w="2154"/>
            <w:vMerge w:val="restart"/>
            <w:tcMar>
              <w:top w:w="70" w:type="dxa"/>
              <w:bottom w:w="70" w:type="dxa"/>
              <w:left w:w="90" w:type="dxa"/>
              <w:right w:w="90" w:type="dxa"/>
            </w:tcMar>
          </w:tcPr>
          <w:p>
            <w:pPr>
              <w:spacing w:after="0"/>
              <w:jc w:val="center"/>
            </w:pPr>
            <w:r>
              <w:rPr>
                <w:rFonts w:ascii="Times New Roman" w:hAnsi="Times New Roman"/>
                <w:b/>
                <w:color w:val="000000"/>
                <w:sz w:val="19"/>
              </w:rPr>
              <w:t>PT Kediri Chemical Abadi</w:t>
              <w:br/>
              <w:t>MANUFAKTUR PKRT</w:t>
              <w:br/>
              <w:t>SISTEM ISO 9001:2015</w:t>
            </w:r>
          </w:p>
        </w:tc>
        <w:tc>
          <w:tcPr>
            <w:tcW w:type="dxa" w:w="3515"/>
            <w:vMerge w:val="restart"/>
            <w:tcMar>
              <w:top w:w="70" w:type="dxa"/>
              <w:bottom w:w="70" w:type="dxa"/>
              <w:left w:w="90" w:type="dxa"/>
              <w:right w:w="90" w:type="dxa"/>
            </w:tcMar>
          </w:tcPr>
          <w:p>
            <w:pPr>
              <w:spacing w:after="0"/>
              <w:jc w:val="center"/>
            </w:pPr>
            <w:r>
              <w:rPr>
                <w:rFonts w:ascii="Times New Roman" w:hAnsi="Times New Roman"/>
                <w:b/>
                <w:color w:val="000000"/>
                <w:sz w:val="21"/>
              </w:rPr>
              <w:t>BUKU KOMPENDIUM LENGKAP 20 STANDAR OPERASIONAL PROSEDUR (SOP) CPKRTB &amp; ISO 9001:2015</w:t>
            </w:r>
          </w:p>
        </w:tc>
        <w:tc>
          <w:tcPr>
            <w:tcW w:type="dxa" w:w="1417"/>
            <w:tcMar>
              <w:top w:w="70" w:type="dxa"/>
              <w:bottom w:w="70" w:type="dxa"/>
              <w:left w:w="90" w:type="dxa"/>
              <w:right w:w="90" w:type="dxa"/>
            </w:tcMar>
          </w:tcPr>
          <w:p>
            <w:pPr>
              <w:spacing w:after="0"/>
            </w:pPr>
            <w:r>
              <w:rPr>
                <w:rFonts w:ascii="Times New Roman" w:hAnsi="Times New Roman"/>
                <w:b/>
                <w:color w:val="000000"/>
                <w:sz w:val="18"/>
              </w:rPr>
              <w:t>No. Dokumen</w:t>
            </w:r>
          </w:p>
        </w:tc>
        <w:tc>
          <w:tcPr>
            <w:tcW w:type="dxa" w:w="1701"/>
            <w:tcMar>
              <w:top w:w="70" w:type="dxa"/>
              <w:bottom w:w="70" w:type="dxa"/>
              <w:left w:w="90" w:type="dxa"/>
              <w:right w:w="90" w:type="dxa"/>
            </w:tcMar>
          </w:tcPr>
          <w:p>
            <w:pPr>
              <w:spacing w:after="0"/>
            </w:pPr>
            <w:r>
              <w:rPr>
                <w:rFonts w:ascii="Times New Roman" w:hAnsi="Times New Roman"/>
                <w:color w:val="000000"/>
                <w:sz w:val="18"/>
              </w:rPr>
              <w:t>SOP-KOM-013</w:t>
            </w:r>
          </w:p>
        </w:tc>
      </w:tr>
      <w:tr>
        <w:tc>
          <w:tcPr>
            <w:tcW w:type="dxa" w:w="2154"/>
            <w:vMerge/>
            <w:tcMar>
              <w:top w:w="70" w:type="dxa"/>
              <w:bottom w:w="70" w:type="dxa"/>
              <w:left w:w="90" w:type="dxa"/>
              <w:right w:w="90" w:type="dxa"/>
            </w:tcMar>
          </w:tcPr>
          <w:p/>
        </w:tc>
        <w:tc>
          <w:tcPr>
            <w:tcW w:type="dxa" w:w="3515"/>
            <w:vMerge/>
            <w:tcMar>
              <w:top w:w="70" w:type="dxa"/>
              <w:bottom w:w="70" w:type="dxa"/>
              <w:left w:w="90" w:type="dxa"/>
              <w:right w:w="90" w:type="dxa"/>
            </w:tcMar>
          </w:tcPr>
          <w:p/>
        </w:tc>
        <w:tc>
          <w:tcPr>
            <w:tcW w:type="dxa" w:w="1417"/>
            <w:tcMar>
              <w:top w:w="70" w:type="dxa"/>
              <w:bottom w:w="70" w:type="dxa"/>
              <w:left w:w="90" w:type="dxa"/>
              <w:right w:w="90" w:type="dxa"/>
            </w:tcMar>
          </w:tcPr>
          <w:p>
            <w:pPr>
              <w:spacing w:after="0"/>
            </w:pPr>
            <w:r>
              <w:rPr>
                <w:rFonts w:ascii="Times New Roman" w:hAnsi="Times New Roman"/>
                <w:b/>
                <w:color w:val="000000"/>
                <w:sz w:val="18"/>
              </w:rPr>
              <w:t>No. Revisi / Tgl</w:t>
            </w:r>
          </w:p>
        </w:tc>
        <w:tc>
          <w:tcPr>
            <w:tcW w:type="dxa" w:w="1701"/>
            <w:tcMar>
              <w:top w:w="70" w:type="dxa"/>
              <w:bottom w:w="70" w:type="dxa"/>
              <w:left w:w="90" w:type="dxa"/>
              <w:right w:w="90" w:type="dxa"/>
            </w:tcMar>
          </w:tcPr>
          <w:p>
            <w:pPr>
              <w:spacing w:after="0"/>
            </w:pPr>
            <w:r>
              <w:rPr>
                <w:rFonts w:ascii="Times New Roman" w:hAnsi="Times New Roman"/>
                <w:color w:val="000000"/>
                <w:sz w:val="18"/>
              </w:rPr>
              <w:t>Rev. 00 / 19 Agustus 2026</w:t>
            </w:r>
          </w:p>
        </w:tc>
      </w:tr>
      <w:tr>
        <w:tc>
          <w:tcPr>
            <w:tcW w:type="dxa" w:w="2154"/>
            <w:vMerge/>
            <w:tcMar>
              <w:top w:w="70" w:type="dxa"/>
              <w:bottom w:w="70" w:type="dxa"/>
              <w:left w:w="90" w:type="dxa"/>
              <w:right w:w="90" w:type="dxa"/>
            </w:tcMar>
          </w:tcPr>
          <w:p/>
        </w:tc>
        <w:tc>
          <w:tcPr>
            <w:tcW w:type="dxa" w:w="3515"/>
            <w:vMerge/>
            <w:tcMar>
              <w:top w:w="70" w:type="dxa"/>
              <w:bottom w:w="70" w:type="dxa"/>
              <w:left w:w="90" w:type="dxa"/>
              <w:right w:w="90" w:type="dxa"/>
            </w:tcMar>
          </w:tcPr>
          <w:p/>
        </w:tc>
        <w:tc>
          <w:tcPr>
            <w:tcW w:type="dxa" w:w="1417"/>
            <w:tcMar>
              <w:top w:w="70" w:type="dxa"/>
              <w:bottom w:w="70" w:type="dxa"/>
              <w:left w:w="90" w:type="dxa"/>
              <w:right w:w="90" w:type="dxa"/>
            </w:tcMar>
          </w:tcPr>
          <w:p>
            <w:pPr>
              <w:spacing w:after="0"/>
            </w:pPr>
            <w:r>
              <w:rPr>
                <w:rFonts w:ascii="Times New Roman" w:hAnsi="Times New Roman"/>
                <w:b/>
                <w:color w:val="000000"/>
                <w:sz w:val="18"/>
              </w:rPr>
              <w:t>Status Dokumen</w:t>
            </w:r>
          </w:p>
        </w:tc>
        <w:tc>
          <w:tcPr>
            <w:tcW w:type="dxa" w:w="1701"/>
            <w:tcMar>
              <w:top w:w="70" w:type="dxa"/>
              <w:bottom w:w="70" w:type="dxa"/>
              <w:left w:w="90" w:type="dxa"/>
              <w:right w:w="90" w:type="dxa"/>
            </w:tcMar>
          </w:tcPr>
          <w:p>
            <w:pPr>
              <w:spacing w:after="0"/>
            </w:pPr>
            <w:r>
              <w:rPr>
                <w:rFonts w:ascii="Times New Roman" w:hAnsi="Times New Roman"/>
                <w:color w:val="000000"/>
                <w:sz w:val="18"/>
              </w:rPr>
              <w:t>TERKENDALI</w:t>
            </w:r>
          </w:p>
        </w:tc>
      </w:tr>
    </w:tbl>
    <w:p>
      <w:pPr>
        <w:spacing w:line="276" w:lineRule="auto" w:after="80"/>
      </w:pPr>
    </w:p>
    <w:p>
      <w:pPr>
        <w:keepNext/>
        <w:spacing w:before="240" w:after="80" w:line="276" w:lineRule="auto"/>
      </w:pPr>
      <w:r>
        <w:rPr>
          <w:rFonts w:ascii="Times New Roman" w:hAnsi="Times New Roman"/>
          <w:b/>
          <w:color w:val="000000"/>
          <w:sz w:val="24"/>
        </w:rPr>
        <w:t>PENDAHULUAN</w:t>
      </w:r>
    </w:p>
    <w:p>
      <w:pPr>
        <w:spacing w:after="80" w:line="276" w:lineRule="auto"/>
      </w:pPr>
      <w:r>
        <w:rPr>
          <w:rFonts w:ascii="Times New Roman" w:hAnsi="Times New Roman"/>
          <w:color w:val="000000"/>
          <w:sz w:val="22"/>
        </w:rPr>
        <w:t>Buku Kompendium ini berisi 20 (dua puluh) Standar Operasional Prosedur (SOP) resmi yang mengatur seluruh aktivitas operasional pabrik manufaktur PKRT PT Kediri Chemical Abadi, mulai dari fasilitas bangunan, penerimaan gudang, pengolahan kimia, pengawasan mutu laboratorium, hingga pasca-penjualan dan inspeksi audit internal.</w:t>
      </w:r>
    </w:p>
    <w:p>
      <w:pPr>
        <w:keepNext/>
        <w:spacing w:before="240" w:after="80" w:line="276" w:lineRule="auto"/>
      </w:pPr>
      <w:r>
        <w:rPr>
          <w:rFonts w:ascii="Times New Roman" w:hAnsi="Times New Roman"/>
          <w:b/>
          <w:color w:val="000000"/>
          <w:sz w:val="24"/>
        </w:rPr>
        <w:t>BAGIAN I: PROSEDUR BANGUNAN, FASILITAS &amp; SANITASI</w:t>
      </w:r>
    </w:p>
    <w:p>
      <w:pPr>
        <w:keepNext/>
        <w:spacing w:before="160" w:after="80" w:line="276" w:lineRule="auto"/>
      </w:pPr>
      <w:r>
        <w:rPr>
          <w:rFonts w:ascii="Times New Roman" w:hAnsi="Times New Roman"/>
          <w:b/>
          <w:color w:val="000000"/>
          <w:sz w:val="22"/>
        </w:rPr>
        <w:t>SOP-SAN-001: Prosedur Pembersihan &amp; Sanitasi Ruangan Pabrik</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Memastikan seluruh area kerja bebas dari debu, kotoran, dan sisa bahan kimia agar tidak terjadi kontaminasi silang.</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Penanggung Jawab: Petugas Kebersihan / Sanitasi di bawah pengawasan Kepala Produksi.</w:t>
      </w:r>
    </w:p>
    <w:p>
      <w:pPr>
        <w:pStyle w:val="ListBullet"/>
        <w:spacing w:after="80" w:line="276" w:lineRule="auto"/>
      </w:pPr>
      <w:r>
        <w:rPr>
          <w:rFonts w:ascii="Times New Roman" w:hAnsi="Times New Roman"/>
          <w:b/>
          <w:color w:val="000000"/>
        </w:rPr>
        <w:t xml:space="preserve">3. </w:t>
      </w:r>
      <w:r>
        <w:rPr>
          <w:rFonts w:ascii="Times New Roman" w:hAnsi="Times New Roman"/>
          <w:color w:val="000000"/>
        </w:rPr>
        <w:t>Prosedur Harian: (a) Sapu dan pel lantai ruang mixing dan filling setiap pagi sebelum produksi dan sore setelah produksi menggunakan larutan disinfektan (Benzalkonium Chloride 0.1% atau Karbol); (b) Bersihkan permukaan meja kerja timbang dan meja filling dengan lap basah bersih berdisinfektan; (c) Buang seluruh sampah padat di tempat penampungan luar pabrik.</w:t>
      </w:r>
    </w:p>
    <w:p>
      <w:pPr>
        <w:pStyle w:val="ListBullet"/>
        <w:spacing w:after="80" w:line="276" w:lineRule="auto"/>
      </w:pPr>
      <w:r>
        <w:rPr>
          <w:rFonts w:ascii="Times New Roman" w:hAnsi="Times New Roman"/>
          <w:b/>
          <w:color w:val="000000"/>
        </w:rPr>
        <w:t xml:space="preserve">4. </w:t>
      </w:r>
      <w:r>
        <w:rPr>
          <w:rFonts w:ascii="Times New Roman" w:hAnsi="Times New Roman"/>
          <w:color w:val="000000"/>
        </w:rPr>
        <w:t>Prosedur Mingguan: Bersihkan dinding keramik, daun pintu, kaca jendela, dan bersihkan kisi-kisi exhaust fan dari debu yang menempel.</w:t>
      </w:r>
    </w:p>
    <w:p>
      <w:pPr>
        <w:pStyle w:val="ListBullet"/>
        <w:spacing w:after="80" w:line="276" w:lineRule="auto"/>
      </w:pPr>
      <w:r>
        <w:rPr>
          <w:rFonts w:ascii="Times New Roman" w:hAnsi="Times New Roman"/>
          <w:b/>
          <w:color w:val="000000"/>
        </w:rPr>
        <w:t xml:space="preserve">5. </w:t>
      </w:r>
      <w:r>
        <w:rPr>
          <w:rFonts w:ascii="Times New Roman" w:hAnsi="Times New Roman"/>
          <w:color w:val="000000"/>
        </w:rPr>
        <w:t>Pencatatan: Isi tanggal dan paraf pada Logbook Pembersihan Ruangan.</w:t>
      </w:r>
    </w:p>
    <w:p>
      <w:pPr>
        <w:keepNext/>
        <w:spacing w:before="160" w:after="80" w:line="276" w:lineRule="auto"/>
      </w:pPr>
      <w:r>
        <w:rPr>
          <w:rFonts w:ascii="Times New Roman" w:hAnsi="Times New Roman"/>
          <w:b/>
          <w:color w:val="000000"/>
          <w:sz w:val="22"/>
        </w:rPr>
        <w:t>SOP-EQP-002: Prosedur Pembersihan &amp; Perawatan Mesin/Tangki Mixer</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Mencegah percampuran sisa formula produk batch sebelumnya dengan batch baru.</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Kuras habis sisa cairan di dalam tangki mixer; (b) Bilas dinding tangki dengan air bersih bertekanan; (c) Gosok bagian dalam tangki menggunakan spons halus dan deterjen netral; (d) Bilas ulang dengan air bersih hingga air buangan jernih dan bebas busa; (e) Keringkan bagian dalam tangki dan pasang label 'BERSIH - SIAP PAKAI'.</w:t>
      </w:r>
    </w:p>
    <w:p>
      <w:pPr>
        <w:keepNext/>
        <w:spacing w:before="160" w:after="80" w:line="276" w:lineRule="auto"/>
      </w:pPr>
      <w:r>
        <w:rPr>
          <w:rFonts w:ascii="Times New Roman" w:hAnsi="Times New Roman"/>
          <w:b/>
          <w:color w:val="000000"/>
          <w:sz w:val="22"/>
        </w:rPr>
        <w:t>SOP-HIG-003: Prosedur Higiene Personil &amp; Pemakaian APD</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Melindungi pekerja dari paparan uap kimia korosif serta mencegah kontaminasi dari personil ke produk.</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Personil wajib mencuci tangan dengan sabun antiseptik selama minimal 20 detik; (b) Wajib mengenakan pakaian kerja/jas lab, masker medis/respirator, tutup kepala (hairnet), sarung tangan nitril/karet, dan sepatu tertutup/boots; (c) Dilarang mengenakan cincin/perhiasan dan dilarang makan/minum/merokok di area produksi.</w:t>
      </w:r>
    </w:p>
    <w:p>
      <w:pPr>
        <w:keepNext/>
        <w:spacing w:before="160" w:after="80" w:line="276" w:lineRule="auto"/>
      </w:pPr>
      <w:r>
        <w:rPr>
          <w:rFonts w:ascii="Times New Roman" w:hAnsi="Times New Roman"/>
          <w:b/>
          <w:color w:val="000000"/>
          <w:sz w:val="22"/>
        </w:rPr>
        <w:t>SOP-PST-004: Prosedur Pengendalian Hama (Pest Control)</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Mencegah masuknya serangga, lalat, kecoa, dan hewan pengerat (tikus) ke dalam area pabrik.</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Pasang insect fly catcher elektrik pada area pintu masuk; (b) Pasang perangkap tikus mekanis (glue trap/box trap) di sepanjang dinding luar dan sudut gudang; (c) Periksa perangkap setiap hari Senin pagi, bersihkan dan ganti lem perekat bila kotor; (d) Catat hasil temuan hama pada Logbook Pest Control.</w:t>
      </w:r>
    </w:p>
    <w:p>
      <w:pPr>
        <w:keepNext/>
        <w:spacing w:before="240" w:after="80" w:line="276" w:lineRule="auto"/>
      </w:pPr>
      <w:r>
        <w:rPr>
          <w:rFonts w:ascii="Times New Roman" w:hAnsi="Times New Roman"/>
          <w:b/>
          <w:color w:val="000000"/>
          <w:sz w:val="24"/>
        </w:rPr>
        <w:t>BAGIAN II: PROSEDUR GUDANG &amp; PENGADAAN BAHAN</w:t>
      </w:r>
    </w:p>
    <w:p>
      <w:pPr>
        <w:keepNext/>
        <w:spacing w:before="160" w:after="80" w:line="276" w:lineRule="auto"/>
      </w:pPr>
      <w:r>
        <w:rPr>
          <w:rFonts w:ascii="Times New Roman" w:hAnsi="Times New Roman"/>
          <w:b/>
          <w:color w:val="000000"/>
          <w:sz w:val="22"/>
        </w:rPr>
        <w:t>SOP-GUD-005: Prosedur Penerimaan &amp; Pemeriksaan Bahan Masuk</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Memastikan bahan baku dan bahan kemas yang diterima sesuai spesifikasi pesanan dan bermutu baik.</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Periksa surat jalan dan kecocokan Certificate of Analysis (CoA) dari supplier; (b) Periksa kondisi fisik drum/jerigen (tidak bocor, tidak berkarat, segel utuh); (c) Pasang label kuning 'DIKARANTINA' dan laporkan ke QC untuk pengambilan sampel uji; (d) Setelah QC meluluskan, ganti label menjadi 'DILULUSKAN' (hijau) dan catat di Kartu Stok.</w:t>
      </w:r>
    </w:p>
    <w:p>
      <w:pPr>
        <w:keepNext/>
        <w:spacing w:before="160" w:after="80" w:line="276" w:lineRule="auto"/>
      </w:pPr>
      <w:r>
        <w:rPr>
          <w:rFonts w:ascii="Times New Roman" w:hAnsi="Times New Roman"/>
          <w:b/>
          <w:color w:val="000000"/>
          <w:sz w:val="22"/>
        </w:rPr>
        <w:t>SOP-GUD-006: Prosedur Penyimpanan Bahan Kimia Berbahaya/Korosif</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Menjamin penyimpanan bahan kimia keras (Sodium Hypochlorite, LABSA, Asam/Basa Kuat) aman dan tidak merusak lingkungan.</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Simpan bahan korosif di area gudang berventilasi khusus terpisah dari bahan parfum/pewarna; (b) Letakkan wadah di atas palet plastik dengan wadah penampung tumpahan (spill pallet); (c) Sediakan pasir/serbuk gergaji dan eye washer darurat di dekat area penyimpanan korosif.</w:t>
      </w:r>
    </w:p>
    <w:p>
      <w:pPr>
        <w:keepNext/>
        <w:spacing w:before="160" w:after="80" w:line="276" w:lineRule="auto"/>
      </w:pPr>
      <w:r>
        <w:rPr>
          <w:rFonts w:ascii="Times New Roman" w:hAnsi="Times New Roman"/>
          <w:b/>
          <w:color w:val="000000"/>
          <w:sz w:val="22"/>
        </w:rPr>
        <w:t>SOP-GUD-007: Prosedur Pengeluaran Bahan Metode FIFO / FEFO</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Menghindari pengendapan bahan baku yang kedaluwarsa atau rusak akibat penyimpanan terlalu lama.</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Bahan baku yang masuk lebih awal (FIFO) atau yang tanggal kedaluwarsanya lebih dekat (FEFO) wajib dikeluarkan terlebih dahulu; (b) Tempel label tanggal masuk dan tanggal expired pada setiap drum bahan; (c) Petugas gudang memotong saldo pada Kartu Stok saat bahan diserahkan ke bagian produksi.</w:t>
      </w:r>
    </w:p>
    <w:p>
      <w:pPr>
        <w:keepNext/>
        <w:spacing w:before="160" w:after="80" w:line="276" w:lineRule="auto"/>
      </w:pPr>
      <w:r>
        <w:rPr>
          <w:rFonts w:ascii="Times New Roman" w:hAnsi="Times New Roman"/>
          <w:b/>
          <w:color w:val="000000"/>
          <w:sz w:val="22"/>
        </w:rPr>
        <w:t>SOP-GUD-008: Prosedur Penyimpanan &amp; Pengiriman Produk Jadi</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Menjaga integritas kemasan produk jadi sebelum dan selama proses distribusi ke pelanggan/distributor.</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Simpan karton boks produk jadi di atas palet kayu/plastik dengan tumpukan maksimal 5 tingkat karton; (b) Gudang barang jadi wajib terlindung dari sinar matahari langsung; (c) Saat pengiriman, terbitkan Surat Jalan resmi yang mencantumkan nama produk, nomor batch, jumlah, dan lampiran CoA dari PJT.</w:t>
      </w:r>
    </w:p>
    <w:p>
      <w:pPr>
        <w:keepNext/>
        <w:spacing w:before="240" w:after="80" w:line="276" w:lineRule="auto"/>
      </w:pPr>
      <w:r>
        <w:rPr>
          <w:rFonts w:ascii="Times New Roman" w:hAnsi="Times New Roman"/>
          <w:b/>
          <w:color w:val="000000"/>
          <w:sz w:val="24"/>
        </w:rPr>
        <w:t>BAGIAN III: PROSEDUR PRODUKSI &amp; PENGEMASAN</w:t>
      </w:r>
    </w:p>
    <w:p>
      <w:pPr>
        <w:keepNext/>
        <w:spacing w:before="160" w:after="80" w:line="276" w:lineRule="auto"/>
      </w:pPr>
      <w:r>
        <w:rPr>
          <w:rFonts w:ascii="Times New Roman" w:hAnsi="Times New Roman"/>
          <w:b/>
          <w:color w:val="000000"/>
          <w:sz w:val="22"/>
        </w:rPr>
        <w:t>SOP-PRD-009: Prosedur Penimbangan Bahan Baku</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Menjamin ketepatan takaran bahan kimia sesuai Master Formula yang disahkan Kemenkes.</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Lakukan kalibrasi harian timbangan digital; (b) Timbang bahan baku satu per satu menggunakan wadah penimbang yang bersih dan kering; (c) Tempel label 'SUDAH DITIMBANG' memuat nama bahan, berat aktual, dan nomor batch target; (d) Catat hasil timbang aktual pada Catatan Pengolahan Bets (Batch Record).</w:t>
      </w:r>
    </w:p>
    <w:p>
      <w:pPr>
        <w:keepNext/>
        <w:spacing w:before="160" w:after="80" w:line="276" w:lineRule="auto"/>
      </w:pPr>
      <w:r>
        <w:rPr>
          <w:rFonts w:ascii="Times New Roman" w:hAnsi="Times New Roman"/>
          <w:b/>
          <w:color w:val="000000"/>
          <w:sz w:val="22"/>
        </w:rPr>
        <w:t>SOP-PRD-010: Prosedur Proses Pencampuran (Mixing) Sabun &amp; Kimia Pembersih</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Menghasilkan larutan pembersih yang homogen, stabil, dan memenuhi spesifikasi viskositas.</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Masukkan air baku ke dalam tangki mixer; (b) Masukkan surfaktan (SLES/LABSA) dan nyalakan motor pengaduk pada kecepatan rendah untuk mencegah pembentukan busa berlebih; (c) Larutkan pengawet dan pewarna secara terpisah sebelum dimasukkan ke tangki; (d) Masukkan parfum dan larutan pengatur kekentalan (NaCl) perlahan hingga viskositas tercapai; (e) Diamkan larutan selama 12–24 jam untuk degasifikasi gelembung udara.</w:t>
      </w:r>
    </w:p>
    <w:p>
      <w:pPr>
        <w:keepNext/>
        <w:spacing w:before="160" w:after="80" w:line="276" w:lineRule="auto"/>
      </w:pPr>
      <w:r>
        <w:rPr>
          <w:rFonts w:ascii="Times New Roman" w:hAnsi="Times New Roman"/>
          <w:b/>
          <w:color w:val="000000"/>
          <w:sz w:val="22"/>
        </w:rPr>
        <w:t>SOP-PRD-011: Prosedur Pengisian (Filling) &amp; Penutupan Kemasan</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Memastikan volume isi botol tepat dan penutupan kemasan kedap serta anti-bocor.</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Kalibrasi nozel mesin pengisi sesuai volume target (misal 450 mL); (b) Isi cairan ke dalam botol bersih; (c) Kencangkan tutup botol dengan torsi penutupan yang rapat; (d) Lakukan uji tekan/balik pada 5 botol sampel per batch untuk memastikan tidak ada rembesan cairan.</w:t>
      </w:r>
    </w:p>
    <w:p>
      <w:pPr>
        <w:keepNext/>
        <w:spacing w:before="160" w:after="80" w:line="276" w:lineRule="auto"/>
      </w:pPr>
      <w:r>
        <w:rPr>
          <w:rFonts w:ascii="Times New Roman" w:hAnsi="Times New Roman"/>
          <w:b/>
          <w:color w:val="000000"/>
          <w:sz w:val="22"/>
        </w:rPr>
        <w:t>SOP-PRD-012: Prosedur Pelabelan Kemasan &amp; Pengemasan ke Karton</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Menjamin penempelan label stiker rapi, memuat data legalitas valid, dan terlindung dalam karton.</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Periksa stiker label: pastikan tercantum Nomor PKD Kemenkes, nama pabrik/distributor, komposisi bahan, nomor batch, dan tanggal kedaluwarsa; (b) Tempel stiker pada posisi tengah botol secara simetris tanpa kerutan; (c) Susun botol ke dalam karton boks sekunder, segel dengan lakban rapat, dan beri tanda arah panah 'THIS SIDE UP'.</w:t>
      </w:r>
    </w:p>
    <w:p>
      <w:pPr>
        <w:keepNext/>
        <w:spacing w:before="240" w:after="80" w:line="276" w:lineRule="auto"/>
      </w:pPr>
      <w:r>
        <w:rPr>
          <w:rFonts w:ascii="Times New Roman" w:hAnsi="Times New Roman"/>
          <w:b/>
          <w:color w:val="000000"/>
          <w:sz w:val="24"/>
        </w:rPr>
        <w:t>BAGIAN IV: PROSEDUR QUALITY CONTROL (QC) &amp; LAB</w:t>
      </w:r>
    </w:p>
    <w:p>
      <w:pPr>
        <w:keepNext/>
        <w:spacing w:before="160" w:after="80" w:line="276" w:lineRule="auto"/>
      </w:pPr>
      <w:r>
        <w:rPr>
          <w:rFonts w:ascii="Times New Roman" w:hAnsi="Times New Roman"/>
          <w:b/>
          <w:color w:val="000000"/>
          <w:sz w:val="22"/>
        </w:rPr>
        <w:t>SOP-QC-013: Prosedur Pengambilan Sampel Uji (Sampling Protocol)</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Memperoleh sampel uji yang representatif dari bahan baku dan produk jadi.</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Gunakan wadah sampling bersih dan pipet steril; (b) Ambil sampel bahan baku dari 10% jumlah drum yang datang; (c) Ambil sampel in-process 250 mL dari tangki mixing; (d) Ambil 3 botol sampel produk jadi pada awal, tengah, dan akhir proses pengemasan.</w:t>
      </w:r>
    </w:p>
    <w:p>
      <w:pPr>
        <w:keepNext/>
        <w:spacing w:before="160" w:after="80" w:line="276" w:lineRule="auto"/>
      </w:pPr>
      <w:r>
        <w:rPr>
          <w:rFonts w:ascii="Times New Roman" w:hAnsi="Times New Roman"/>
          <w:b/>
          <w:color w:val="000000"/>
          <w:sz w:val="22"/>
        </w:rPr>
        <w:t>SOP-QC-014: Prosedur Pengujian Kualitas Produk Jadi di Laboratorium</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Menentukan status kelulusan mutu produk berdasarkan spesifikasi teknis Kemenkes.</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Uji Organoleptik: amati warna, kejernihan, dan bau sediaan; (b) Uji pH: celupkan elektroda pH meter terkalibrasi ke dalam sampel suhu 25°C, catat nilai pH (standar sabun: 6.00–8.00; pemutih: 11.00–12.50); (c) Uji Bobot Jenis: timbang sampel dalam piknometer pada suhu 25°C; (d) Catat seluruh hasil pada Lembar Pengujian QC.</w:t>
      </w:r>
    </w:p>
    <w:p>
      <w:pPr>
        <w:keepNext/>
        <w:spacing w:before="160" w:after="80" w:line="276" w:lineRule="auto"/>
      </w:pPr>
      <w:r>
        <w:rPr>
          <w:rFonts w:ascii="Times New Roman" w:hAnsi="Times New Roman"/>
          <w:b/>
          <w:color w:val="000000"/>
          <w:sz w:val="22"/>
        </w:rPr>
        <w:t>SOP-QC-015: Prosedur Pengelolaan Sampel Pertinggal (Retained Sample)</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Menyimpan arsip fisik produk dari setiap nomor batch untuk kebutuhan investigasi jika terjadi keluhan komsumen.</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Ambil 2 kemasan jadi lengkap dengan label resmi dari setiap batch yang diproduksi; (b) Simpan di lemari Sampel Pertinggal pada suhu kamar terkontrol; (c) Simpan selama minimal masa kedaluwarsa ditambah 1 tahun (total minimal 3 tahun); (d) Musnahkan sampel yang telah habis masa retensinya dan buat Berita Acara Pemusnahan.</w:t>
      </w:r>
    </w:p>
    <w:p>
      <w:pPr>
        <w:keepNext/>
        <w:spacing w:before="160" w:after="80" w:line="276" w:lineRule="auto"/>
      </w:pPr>
      <w:r>
        <w:rPr>
          <w:rFonts w:ascii="Times New Roman" w:hAnsi="Times New Roman"/>
          <w:b/>
          <w:color w:val="000000"/>
          <w:sz w:val="22"/>
        </w:rPr>
        <w:t>SOP-QC-016: Prosedur Penerbitan Sertifikat Analisis (CoA)</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Menerbitkan dokumen sertifikat resmi jaminan mutu produk yang disahkan oleh PJT.</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Petugas QC menyerahkan Lembar Hasil Uji QC yang telah lolos spesifikasi kepada PJT; (b) PJT memeriksa dan memverifikasi data hasil uji; (c) PJT menandatangani blanko Certificate of Analysis (CoA) resmi; (d) Berikan salinan CoA kepada bagian ekspedisi untuk diserahkan kepada pembeli/distributor.</w:t>
      </w:r>
    </w:p>
    <w:p>
      <w:pPr>
        <w:keepNext/>
        <w:spacing w:before="240" w:after="80" w:line="276" w:lineRule="auto"/>
      </w:pPr>
      <w:r>
        <w:rPr>
          <w:rFonts w:ascii="Times New Roman" w:hAnsi="Times New Roman"/>
          <w:b/>
          <w:color w:val="000000"/>
          <w:sz w:val="24"/>
        </w:rPr>
        <w:t>BAGIAN V: PROSEDUR PASCA-PRODUKSI, RECALL &amp; AUDIT MUTU</w:t>
      </w:r>
    </w:p>
    <w:p>
      <w:pPr>
        <w:keepNext/>
        <w:spacing w:before="160" w:after="80" w:line="276" w:lineRule="auto"/>
      </w:pPr>
      <w:r>
        <w:rPr>
          <w:rFonts w:ascii="Times New Roman" w:hAnsi="Times New Roman"/>
          <w:b/>
          <w:color w:val="000000"/>
          <w:sz w:val="22"/>
        </w:rPr>
        <w:t>SOP-MKT-017: Prosedur Penanganan Keluhan Pelanggan (Complaint Handling)</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Merespon, menginvestigasi, dan menyelesaikan setiap keluhan mutu produk dari pelanggan secara cepat dan tuntas.</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Catat keluhan pada Formulir Keluhan Pelanggan dalam waktu 1x24 jam; (b) PJT mengambil sampel pertinggal dari batch yang dikeluhkan untuk diuji ulang di lab; (c) Tentukan penyebab masalah (kesalahan produksi, penyimpanan di toko, atau kemasan rusak saat ekspedisi); (d) Berikan surat tanggapan resmi dan lakukan penggantian barang jika terbukti kesalahan produksi.</w:t>
      </w:r>
    </w:p>
    <w:p>
      <w:pPr>
        <w:keepNext/>
        <w:spacing w:before="160" w:after="80" w:line="276" w:lineRule="auto"/>
      </w:pPr>
      <w:r>
        <w:rPr>
          <w:rFonts w:ascii="Times New Roman" w:hAnsi="Times New Roman"/>
          <w:b/>
          <w:color w:val="000000"/>
          <w:sz w:val="22"/>
        </w:rPr>
        <w:t>SOP-REG-018: Prosedur Penarikan Kembali Produk dari Peredaran (Product Recall)</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Melakukan penarikan produk secara efektif dari pasar apabila ditemukan cacat mutu berbahaya atau atas perintah Kemenkes RI.</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Direktur membentuk Tim Penarikan Produk yang diketuai oleh PJT; (b) Telusuri data distribusi batch terkait dari arsip Surat Jalan; (c) Terbitkan Surat Pemberitahuan Penarikan Produk (Recall) kepada seluruh distributor/toko dalam waktu 2x24 jam; (d) Karantina seluruh produk yang ditarik di area bertanda 'BARANG DITOLAK/RECALL'; (e) Kirim laporan resmi pelaksanaan recall ke Direktorat Pengawasan PKRT Kemenkes RI.</w:t>
      </w:r>
    </w:p>
    <w:p>
      <w:pPr>
        <w:keepNext/>
        <w:spacing w:before="160" w:after="80" w:line="276" w:lineRule="auto"/>
      </w:pPr>
      <w:r>
        <w:rPr>
          <w:rFonts w:ascii="Times New Roman" w:hAnsi="Times New Roman"/>
          <w:b/>
          <w:color w:val="000000"/>
          <w:sz w:val="22"/>
        </w:rPr>
        <w:t>SOP-PRD-019: Prosedur Penanganan Produk Tidak Sesuai (Reject / Rework)</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Mengendalikan produk atau bahan baku yang tidak memenuhi spesifikasi agar tidak terkirim ke pasar.</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Pasang label merah 'DITOLAK / REJECT' pada wadah atau palet yang tidak lolos QC; (b) PJT melakukan evaluasi: apakah cairan bisa dilakukan pengerjaan ulang (rework) dengan penyesuaian pH/viskositas, atau harus dimusnahkan; (c) Jika di-rework, buat Catatan Pengolahan Rework tersendiri; (d) Jika dimusnahkan, netralkan cairan sebelum dibuang ke IPAL dan buat Berita Acara Pemusnahan.</w:t>
      </w:r>
    </w:p>
    <w:p>
      <w:pPr>
        <w:keepNext/>
        <w:spacing w:before="160" w:after="80" w:line="276" w:lineRule="auto"/>
      </w:pPr>
      <w:r>
        <w:rPr>
          <w:rFonts w:ascii="Times New Roman" w:hAnsi="Times New Roman"/>
          <w:b/>
          <w:color w:val="000000"/>
          <w:sz w:val="22"/>
        </w:rPr>
        <w:t>SOP-QMS-020: Prosedur Audit Internal &amp; Inspeksi Diri Standar ISO 9001 &amp; CPKRTB</w:t>
      </w:r>
    </w:p>
    <w:p>
      <w:pPr>
        <w:pStyle w:val="ListBullet"/>
        <w:spacing w:after="80" w:line="276" w:lineRule="auto"/>
      </w:pPr>
      <w:r>
        <w:rPr>
          <w:rFonts w:ascii="Times New Roman" w:hAnsi="Times New Roman"/>
          <w:b/>
          <w:color w:val="000000"/>
        </w:rPr>
        <w:t xml:space="preserve">1. </w:t>
      </w:r>
      <w:r>
        <w:rPr>
          <w:rFonts w:ascii="Times New Roman" w:hAnsi="Times New Roman"/>
          <w:color w:val="000000"/>
        </w:rPr>
        <w:t>Tujuan: Memastikan seluruh sistem mutu dan prosedur operasional pabrik berjalan konsisten dan siap menghadapi audit Kemenkes/Dinkes.</w:t>
      </w:r>
    </w:p>
    <w:p>
      <w:pPr>
        <w:pStyle w:val="ListBullet"/>
        <w:spacing w:after="80" w:line="276" w:lineRule="auto"/>
      </w:pPr>
      <w:r>
        <w:rPr>
          <w:rFonts w:ascii="Times New Roman" w:hAnsi="Times New Roman"/>
          <w:b/>
          <w:color w:val="000000"/>
        </w:rPr>
        <w:t xml:space="preserve">2. </w:t>
      </w:r>
      <w:r>
        <w:rPr>
          <w:rFonts w:ascii="Times New Roman" w:hAnsi="Times New Roman"/>
          <w:color w:val="000000"/>
        </w:rPr>
        <w:t>Prosedur: (a) Audit internal dilaksanakan minimal 2 kali dalam setahun (setiap 6 bulan); (b) Tim Auditor Internal memeriksa seluruh area (Gudang, Produksi, QC, Dokumen PJT, Sanitasi); (c) Setiap temuan ketidaksesuaian dicatat pada Formulir Laporan CAPA; (d) Lakukan verifikasi tindakan perbaikan maksimal 30 hari kalender setelah audit; (e) Laporkan hasil audit dalam Rapat Tinjauan Manajemen (Management Review).</w:t>
      </w:r>
    </w:p>
    <w:tbl>
      <w:tblPr>
        <w:tblW w:type="auto" w:w="0"/>
        <w:jc w:val="center"/>
        <w:tblLook w:firstColumn="1" w:firstRow="1" w:lastColumn="0" w:lastRow="0" w:noHBand="0" w:noVBand="1" w:val="04A0"/>
        <w:tblBorders>
          <w:top w:val="none" w:sz="0" w:space="0" w:color="FFFFFF"/>
          <w:bottom w:val="none" w:sz="0" w:space="0" w:color="FFFFFF"/>
          <w:insideH w:val="none" w:sz="0" w:space="0" w:color="FFFFFF"/>
          <w:insideV w:val="none" w:sz="0" w:space="0" w:color="FFFFFF"/>
          <w:left w:val="none" w:sz="0" w:space="0" w:color="FFFFFF"/>
          <w:right w:val="none" w:sz="0" w:space="0" w:color="FFFFFF"/>
        </w:tblBorders>
      </w:tblPr>
      <w:tblGrid>
        <w:gridCol w:w="4394"/>
        <w:gridCol w:w="4394"/>
      </w:tblGrid>
      <w:tr>
        <w:tc>
          <w:tcPr>
            <w:tcW w:type="dxa" w:w="4252"/>
          </w:tcPr>
          <w:p>
            <w:pPr>
              <w:spacing w:after="0"/>
              <w:jc w:val="center"/>
            </w:pPr>
            <w:r>
              <w:rPr>
                <w:rFonts w:ascii="Times New Roman" w:hAnsi="Times New Roman"/>
                <w:color w:val="000000"/>
                <w:sz w:val="19"/>
              </w:rPr>
              <w:t>Disiapkan Oleh,</w:t>
              <w:br/>
              <w:t>Penanggung Jawab Teknis (PJT)</w:t>
              <w:br/>
              <w:br/>
              <w:br/>
              <w:br/>
              <w:br/>
              <w:t>( ............................................ )</w:t>
              <w:br/>
              <w:t>Tanggal: ...................................</w:t>
            </w:r>
          </w:p>
        </w:tc>
        <w:tc>
          <w:tcPr>
            <w:tcW w:type="dxa" w:w="4535"/>
          </w:tcPr>
          <w:p>
            <w:pPr>
              <w:spacing w:after="0"/>
              <w:jc w:val="center"/>
            </w:pPr>
            <w:r>
              <w:rPr>
                <w:rFonts w:ascii="Times New Roman" w:hAnsi="Times New Roman"/>
                <w:color w:val="000000"/>
                <w:sz w:val="19"/>
              </w:rPr>
              <w:t>Disahkan Oleh,</w:t>
              <w:br/>
              <w:t>Direktur Utama PT Kediri Chemical Abadi</w:t>
              <w:br/>
              <w:br/>
              <w:br/>
              <w:br/>
              <w:br/>
              <w:t>( ............................................ )</w:t>
              <w:br/>
              <w:t>Tanggal: ...................................</w:t>
            </w:r>
          </w:p>
        </w:tc>
      </w:tr>
    </w:tbl>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Yerikho Arfensias Effendi</Manager>
  <Company>PT Kediri Chemical Abadi</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13 Buku Kompendium Lengkap 20 Sop Cpkrtb Iso9001</dc:title>
  <dc:subject>Sistem Manajemen Mutu ISO 9001:2015 &amp; Operasional Bisnis</dc:subject>
  <dc:creator>Yerikho Arfensias Effendi</dc:creator>
  <cp:keywords>PT Kediri Chemical Abadi, ISO 9001, CPKRT, SOP, Manajemen</cp:keywords>
  <dc:description>Dokumen Terkendali PT Kediri Chemical Abadi</dc:description>
  <cp:lastModifiedBy>Yerikho Arfensias Effendi</cp:lastModifiedBy>
  <cp:revision>3</cp:revision>
  <dcterms:created xsi:type="dcterms:W3CDTF">2026-08-10T13:27:44Z</dcterms:created>
  <dcterms:modified xsi:type="dcterms:W3CDTF">2026-08-20T13:32:20Z</dcterms:modified>
  <cp:category>Dokumen Manajemen KCA</cp:category>
</cp:coreProperties>
</file>