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MANAJEMEN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KEBIJAKAN MUTU &amp; SASARAN MUTU PERUSAHAAN (QUALITY POLICY &amp; OBJECTIVES ISO 9001)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MGT-DIR-001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 - DIREKSI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PERNYATAAN KEBIJAKAN MUTU PERUSAHAAN (ISO 9001 KLAUSUL 5.2)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PT Kediri Chemical Abadi berkomitmen menjadi produsen makloon Perbekalan Kesehatan Rumah Tangga (PKRT) yang unggul, terpercaya, dan patuh hukum di Indonesia dengan menerapkan 4 Pilar Keunggulan: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Kepatuhan Regulasi &amp; Mutu: </w:t>
      </w:r>
      <w:r>
        <w:rPr>
          <w:rFonts w:ascii="Times New Roman" w:hAnsi="Times New Roman"/>
          <w:color w:val="000000"/>
        </w:rPr>
        <w:t>Memastikan 100% proses manufaktur memenuhi pedoman Cara Pembuatan PKRT yang Baik (CPKRTB) Kemenkes RI dan Sistem Manajemen Mutu ISO 9001:2015.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Kepuasan Pelanggan &amp; Mitra: </w:t>
      </w:r>
      <w:r>
        <w:rPr>
          <w:rFonts w:ascii="Times New Roman" w:hAnsi="Times New Roman"/>
          <w:color w:val="000000"/>
        </w:rPr>
        <w:t>Menjamin kerahasiaan formula, ketepatan waktu serah terima pesanan (On-Time Delivery), dan legalitas izin edar resmi KEMENKES RI PKD.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Keselamatan Kerja &amp; Lingkungan: </w:t>
      </w:r>
      <w:r>
        <w:rPr>
          <w:rFonts w:ascii="Times New Roman" w:hAnsi="Times New Roman"/>
          <w:color w:val="000000"/>
        </w:rPr>
        <w:t>Menerapkan sistem keselamatan kerja kimia (K3) yang ketat dan ramah lingkungan.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Perbaikan Berkelanjutan (Continual Improvement): </w:t>
      </w:r>
      <w:r>
        <w:rPr>
          <w:rFonts w:ascii="Times New Roman" w:hAnsi="Times New Roman"/>
          <w:color w:val="000000"/>
        </w:rPr>
        <w:t>Melakukan perbaikan berkelanjutan secara sistematis pada seluruh proses produksi, efisiensi biaya, dan peningkatan kompetensi sumber daya manusia.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MATRIKS SASARAN MUTU &amp; KPI PABRIK (ISO 9001 KLAUSUL 6.2)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Departemen</w:t>
            </w:r>
          </w:p>
        </w:tc>
        <w:tc>
          <w:tcPr>
            <w:tcW w:type="dxa" w:w="283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Indikator Kinerja Utama (KPI)</w:t>
            </w:r>
          </w:p>
        </w:tc>
        <w:tc>
          <w:tcPr>
            <w:tcW w:type="dxa" w:w="158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Target Tahunan</w:t>
            </w:r>
          </w:p>
        </w:tc>
        <w:tc>
          <w:tcPr>
            <w:tcW w:type="dxa" w:w="170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Metode Monitoring</w:t>
            </w:r>
          </w:p>
        </w:tc>
        <w:tc>
          <w:tcPr>
            <w:tcW w:type="dxa" w:w="90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PIC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Manajemen / Direksi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Pertumbuhan Volume Produksi Makloon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Min. 10.000 Liter / Bln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Laporan Penjualan Bulanan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/ Regulasi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Keberhasilan Terbit Izin Edar PKD Baru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100% Sesuai Timeline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Status Aplikasi e-Farmalkes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Produksi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Tingkat Produk Lolos Pertama (First Pass Yield)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Min. 98,5 %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Rekapitulasi Batch Record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Ka. Prod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Quality Control (QC)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Keluhan Mutu Konsumen (Customer Complaint)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Maksimal &lt; 1 % per batch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Logbook Keluhan Pelanggan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QC / PJT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Gudang &amp; Logistik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Akurasi Stok Bahan Baku &amp; Barang Jadi</w:t>
            </w:r>
          </w:p>
        </w:tc>
        <w:tc>
          <w:tcPr>
            <w:tcW w:type="dxa" w:w="158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Min. 99,0 %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Stock Opname Bulanan</w:t>
            </w:r>
          </w:p>
        </w:tc>
        <w:tc>
          <w:tcPr>
            <w:tcW w:type="dxa" w:w="90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Ka. Gudang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HR &amp; K3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Zero Accident (Nol Kecelakaan Kerja Berat)</w:t>
            </w:r>
          </w:p>
        </w:tc>
        <w:tc>
          <w:tcPr>
            <w:tcW w:type="dxa" w:w="158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0 Kasus / Tahun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Laporan Insiden K3 Harian</w:t>
            </w:r>
          </w:p>
        </w:tc>
        <w:tc>
          <w:tcPr>
            <w:tcW w:type="dxa" w:w="90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Koord. K3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8788"/>
      </w:tblGrid>
      <w:tr>
        <w:tc>
          <w:tcPr>
            <w:tcW w:type="dxa" w:w="87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Ditetapkan dan Disahkan Oleh,</w:t>
              <w:br/>
              <w:t>Direktur Utama PT KCA Chemical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Mgt-01 Kebijakan Mutu Dan Sasaran Mutu Kpi Direksi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2026-08-10T09:16:29Z</dcterms:created>
  <dcterms:modified xsi:type="dcterms:W3CDTF">2026-08-20T19:29:24Z</dcterms:modified>
  <cp:category>Dokumen Manajemen KCA</cp:category>
</cp:coreProperties>
</file>