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DIREKSI &amp; MANAJEMEN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MANAJEMEN RISIKO BISNIS &amp; ANALISIS OPERASIONAL PABRIK PKRT (ISO 9001 KLAUSUL 6.1)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MGT-DIR-002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 - DIREKSI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Mengidentifikasi, menganalisis, dan memitigasi seluruh risiko operasional, kepatuhan hukum, finansial, dan teknis manufaktur yang dapat menghambat pencapaian target usaha PT KCA Chemical.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REGISTER IDENTIFIKASI RISIKO &amp; RENCANA MITIGASI DIREKSI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45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No</w:t>
            </w:r>
          </w:p>
        </w:tc>
        <w:tc>
          <w:tcPr>
            <w:tcW w:type="dxa" w:w="136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Kategori Risiko</w:t>
            </w:r>
          </w:p>
        </w:tc>
        <w:tc>
          <w:tcPr>
            <w:tcW w:type="dxa" w:w="238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Deskripsi Potensi Bahaya / Kejadian</w:t>
            </w:r>
          </w:p>
        </w:tc>
        <w:tc>
          <w:tcPr>
            <w:tcW w:type="dxa" w:w="1247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Tingkat Dampak</w:t>
            </w:r>
          </w:p>
        </w:tc>
        <w:tc>
          <w:tcPr>
            <w:tcW w:type="dxa" w:w="2835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Rencana Tindakan Mitigasi Direksi</w:t>
            </w:r>
          </w:p>
        </w:tc>
        <w:tc>
          <w:tcPr>
            <w:tcW w:type="dxa" w:w="1020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Penanggung Jawab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Risiko Regulasi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Izin PKD terlambat terbit karena dokumen mutu lab tidak lengkap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Tinggi (High)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Merekrut PJT kompeten, bekerja sama dengan lab terakreditasi KAN rujukan, dan audit kelengkapan formula sebelum submit.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 &amp; Direktur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Risiko HKI / Merek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Klien makloon bersengketa merek dagang dengan pihak ketiga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Tinggi (High)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verifikasi sertifikat DJKI Kemenkumham dan meminta Surat Pernyataan Kepemilikan Merek bermaterai sebelum kontrak.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Marketing &amp; Legal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Risiko Mutu Produk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Cairan sabun mengalami pemisahan fase/keruh setelah 3 bulan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Sedang (Medium)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Wajib uji stabilitas dipercepat (Accelerated Stability Test) dan simpan Sampel Pertinggal (Retained Sample) per batch.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 &amp; QC</w:t>
            </w:r>
          </w:p>
        </w:tc>
      </w:tr>
      <w:tr>
        <w:tc>
          <w:tcPr>
            <w:tcW w:type="dxa" w:w="45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36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Risiko K3 Kimia</w:t>
            </w:r>
          </w:p>
        </w:tc>
        <w:tc>
          <w:tcPr>
            <w:tcW w:type="dxa" w:w="238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Kebocoran uap klorin atau tumpahan cairan asam di gudang</w:t>
            </w:r>
          </w:p>
        </w:tc>
        <w:tc>
          <w:tcPr>
            <w:tcW w:type="dxa" w:w="1247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Tinggi (High)</w:t>
            </w:r>
          </w:p>
        </w:tc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Penyediaan area berventilasi khusus korosif, penampung tumpahan (spill pallet), APD respirator, dan eye washer.</w:t>
            </w:r>
          </w:p>
        </w:tc>
        <w:tc>
          <w:tcPr>
            <w:tcW w:type="dxa" w:w="1020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Ka. Prod &amp; K3</w:t>
            </w:r>
          </w:p>
        </w:tc>
      </w:tr>
      <w:tr>
        <w:tc>
          <w:tcPr>
            <w:tcW w:type="dxa" w:w="45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36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Risiko Finansial</w:t>
            </w:r>
          </w:p>
        </w:tc>
        <w:tc>
          <w:tcPr>
            <w:tcW w:type="dxa" w:w="238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Gagal bayar atau penundaan pelunasan oleh pihak distributor</w:t>
            </w:r>
          </w:p>
        </w:tc>
        <w:tc>
          <w:tcPr>
            <w:tcW w:type="dxa" w:w="124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Sedang (Medium)</w:t>
            </w:r>
          </w:p>
        </w:tc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Menerapkan sistem pembayaran DP 50% di awal dan pelunasan 50% wajib sebelum barang dimuat ke truk ekspedisi.</w:t>
            </w:r>
          </w:p>
        </w:tc>
        <w:tc>
          <w:tcPr>
            <w:tcW w:type="dxa" w:w="102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Direktur / Keuangan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8788"/>
      </w:tblGrid>
      <w:tr>
        <w:tc>
          <w:tcPr>
            <w:tcW w:type="dxa" w:w="8787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Ditetapkan dan Disahkan Oleh,</w:t>
              <w:br/>
              <w:t>Direktur Utama PT KCA Chemical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Mgt-02 Manajemen Risiko Dan Mitigasi Bisnis Pabrik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6</cp:revision>
  <dcterms:created xsi:type="dcterms:W3CDTF">2026-08-13T14:37:53Z</dcterms:created>
  <dcterms:modified xsi:type="dcterms:W3CDTF">2026-08-20T14:50:48Z</dcterms:modified>
  <cp:category>Dokumen Manajemen KCA</cp:category>
</cp:coreProperties>
</file>