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32"/>
        </w:rPr>
        <w:t>PT KEDIRI CHEMICAL ABADI</w:t>
        <w:br/>
      </w:r>
      <w:r>
        <w:rPr>
          <w:rFonts w:ascii="Arial" w:hAnsi="Arial"/>
          <w:b/>
          <w:color w:val="000000"/>
          <w:sz w:val="25"/>
        </w:rPr>
        <w:t>LAPORAN KEUANGAN &amp; EKSEKUTIF BULANAN</w:t>
        <w:br/>
      </w:r>
      <w:r>
        <w:rPr>
          <w:rFonts w:ascii="Arial" w:hAnsi="Arial"/>
          <w:i/>
          <w:color w:val="000000"/>
          <w:sz w:val="19"/>
        </w:rPr>
        <w:t>Periode: September 2026 | No. Dokumen: FIN-REP-2026SEP-001</w:t>
        <w:br/>
      </w:r>
    </w:p>
    <w:p>
      <w:pPr>
        <w:jc w:val="center"/>
      </w:pPr>
      <w:r>
        <w:rPr>
          <w:color w:val="000000"/>
        </w:rPr>
        <w:t>══════════════════════════════════════════════════════════</w:t>
      </w:r>
    </w:p>
    <w:p>
      <w:pPr>
        <w:pStyle w:val="Heading2"/>
      </w:pPr>
      <w:r>
        <w:rPr>
          <w:b/>
          <w:color w:val="000000"/>
        </w:rPr>
        <w:t>1. RINGKASAN EKSEKUTIF DIREKSI</w:t>
      </w:r>
    </w:p>
    <w:p>
      <w:pPr>
        <w:spacing w:line="276" w:lineRule="auto"/>
      </w:pPr>
      <w:r>
        <w:rPr>
          <w:color w:val="000000"/>
        </w:rPr>
        <w:t>Laporan ini menyajikan posisi keuangan, realisasi biaya operasional pabrik, pemantauan aset, dan status kewajiban restrukturisasi PT Kediri Chemical Abadi untuk periode September 2026. Pengawasan operasional dipimpin oleh Bpk. Yerikho Arfensias Effendi di bawah arahan Direktur Utama Bpk. Yan Effendi.</w:t>
      </w:r>
    </w:p>
    <w:p>
      <w:pPr>
        <w:pStyle w:val="Heading2"/>
      </w:pPr>
      <w:r>
        <w:rPr>
          <w:b/>
          <w:color w:val="000000"/>
        </w:rPr>
        <w:t>2. REALISASI BIAYA OPERASIONAL BULANAN (OPEX)</w:t>
      </w:r>
    </w:p>
    <w:tbl>
      <w:tblPr>
        <w:tblW w:type="auto" w:w="0"/>
        <w:jc w:val="center"/>
        <w:tblLook w:firstColumn="1" w:firstRow="1" w:lastColumn="0" w:lastRow="0" w:noHBand="0" w:noVBand="1" w:val="04A0"/>
      </w:tblPr>
      <w:tblGrid>
        <w:gridCol w:w="3264"/>
        <w:gridCol w:w="3264"/>
        <w:gridCol w:w="3264"/>
      </w:tblGrid>
      <w:tr>
        <w:tc>
          <w:tcPr>
            <w:tcW w:type="dxa" w:w="3264"/>
            <w:shd w:fill="1E293B"/>
            <w:tcMar>
              <w:top w:w="120" w:type="dxa"/>
              <w:bottom w:w="120" w:type="dxa"/>
              <w:left w:w="160" w:type="dxa"/>
              <w:right w:w="160" w:type="dxa"/>
            </w:tcMar>
          </w:tcPr>
          <w:p>
            <w:r>
              <w:rPr>
                <w:b/>
                <w:color w:val="FFFFFF"/>
              </w:rPr>
              <w:t>Pos Biaya / Beban Operasional</w:t>
            </w:r>
          </w:p>
        </w:tc>
        <w:tc>
          <w:tcPr>
            <w:tcW w:type="dxa" w:w="3264"/>
            <w:shd w:fill="1E293B"/>
            <w:tcMar>
              <w:top w:w="120" w:type="dxa"/>
              <w:bottom w:w="120" w:type="dxa"/>
              <w:left w:w="160" w:type="dxa"/>
              <w:right w:w="160" w:type="dxa"/>
            </w:tcMar>
          </w:tcPr>
          <w:p>
            <w:r>
              <w:rPr>
                <w:b/>
                <w:color w:val="FFFFFF"/>
              </w:rPr>
              <w:t>Kategori</w:t>
            </w:r>
          </w:p>
        </w:tc>
        <w:tc>
          <w:tcPr>
            <w:tcW w:type="dxa" w:w="3264"/>
            <w:shd w:fill="1E293B"/>
            <w:tcMar>
              <w:top w:w="120" w:type="dxa"/>
              <w:bottom w:w="120" w:type="dxa"/>
              <w:left w:w="160" w:type="dxa"/>
              <w:right w:w="160" w:type="dxa"/>
            </w:tcMar>
          </w:tcPr>
          <w:p>
            <w:r>
              <w:rPr>
                <w:b/>
                <w:color w:val="FFFFFF"/>
              </w:rPr>
              <w:t>Realisasi / Anggaran</w:t>
            </w:r>
          </w:p>
        </w:tc>
      </w:tr>
      <w:tr>
        <w:tc>
          <w:tcPr>
            <w:tcW w:type="dxa" w:w="3264"/>
            <w:tcMar>
              <w:top w:w="120" w:type="dxa"/>
              <w:bottom w:w="120" w:type="dxa"/>
              <w:left w:w="160" w:type="dxa"/>
              <w:right w:w="160" w:type="dxa"/>
            </w:tcMar>
          </w:tcPr>
          <w:p>
            <w:r>
              <w:rPr>
                <w:color w:val="000000"/>
              </w:rPr>
              <w:t>Beban Gaji &amp; Upah (Payroll)</w:t>
            </w:r>
          </w:p>
        </w:tc>
        <w:tc>
          <w:tcPr>
            <w:tcW w:type="dxa" w:w="3264"/>
            <w:tcMar>
              <w:top w:w="120" w:type="dxa"/>
              <w:bottom w:w="120" w:type="dxa"/>
              <w:left w:w="160" w:type="dxa"/>
              <w:right w:w="160" w:type="dxa"/>
            </w:tcMar>
          </w:tcPr>
          <w:p>
            <w:r>
              <w:rPr>
                <w:color w:val="000000"/>
              </w:rPr>
              <w:t>SDM &amp; Manajemen</w:t>
            </w:r>
          </w:p>
        </w:tc>
        <w:tc>
          <w:tcPr>
            <w:tcW w:type="dxa" w:w="3264"/>
            <w:tcMar>
              <w:top w:w="120" w:type="dxa"/>
              <w:bottom w:w="120" w:type="dxa"/>
              <w:left w:w="160" w:type="dxa"/>
              <w:right w:w="160" w:type="dxa"/>
            </w:tcMar>
          </w:tcPr>
          <w:p>
            <w:r>
              <w:rPr>
                <w:color w:val="000000"/>
              </w:rPr>
              <w:t>Rp 7,500,000</w:t>
            </w:r>
          </w:p>
        </w:tc>
      </w:tr>
      <w:tr>
        <w:tc>
          <w:tcPr>
            <w:tcW w:type="dxa" w:w="3264"/>
            <w:tcMar>
              <w:top w:w="120" w:type="dxa"/>
              <w:bottom w:w="120" w:type="dxa"/>
              <w:left w:w="160" w:type="dxa"/>
              <w:right w:w="160" w:type="dxa"/>
            </w:tcMar>
          </w:tcPr>
          <w:p>
            <w:r>
              <w:rPr>
                <w:color w:val="000000"/>
              </w:rPr>
              <w:t>Beban Listrik Pabrik (PLN)</w:t>
            </w:r>
          </w:p>
        </w:tc>
        <w:tc>
          <w:tcPr>
            <w:tcW w:type="dxa" w:w="3264"/>
            <w:tcMar>
              <w:top w:w="120" w:type="dxa"/>
              <w:bottom w:w="120" w:type="dxa"/>
              <w:left w:w="160" w:type="dxa"/>
              <w:right w:w="160" w:type="dxa"/>
            </w:tcMar>
          </w:tcPr>
          <w:p>
            <w:r>
              <w:rPr>
                <w:color w:val="000000"/>
              </w:rPr>
              <w:t>Utilitas Pabrik</w:t>
            </w:r>
          </w:p>
        </w:tc>
        <w:tc>
          <w:tcPr>
            <w:tcW w:type="dxa" w:w="3264"/>
            <w:tcMar>
              <w:top w:w="120" w:type="dxa"/>
              <w:bottom w:w="120" w:type="dxa"/>
              <w:left w:w="160" w:type="dxa"/>
              <w:right w:w="160" w:type="dxa"/>
            </w:tcMar>
          </w:tcPr>
          <w:p>
            <w:r>
              <w:rPr>
                <w:color w:val="000000"/>
              </w:rPr>
              <w:t>Rp 1,700,000</w:t>
            </w:r>
          </w:p>
        </w:tc>
      </w:tr>
      <w:tr>
        <w:tc>
          <w:tcPr>
            <w:tcW w:type="dxa" w:w="3264"/>
            <w:tcMar>
              <w:top w:w="120" w:type="dxa"/>
              <w:bottom w:w="120" w:type="dxa"/>
              <w:left w:w="160" w:type="dxa"/>
              <w:right w:w="160" w:type="dxa"/>
            </w:tcMar>
          </w:tcPr>
          <w:p>
            <w:r>
              <w:rPr>
                <w:color w:val="000000"/>
              </w:rPr>
              <w:t>Beban Air &amp; Sanitasi Pabrik</w:t>
            </w:r>
          </w:p>
        </w:tc>
        <w:tc>
          <w:tcPr>
            <w:tcW w:type="dxa" w:w="3264"/>
            <w:tcMar>
              <w:top w:w="120" w:type="dxa"/>
              <w:bottom w:w="120" w:type="dxa"/>
              <w:left w:w="160" w:type="dxa"/>
              <w:right w:w="160" w:type="dxa"/>
            </w:tcMar>
          </w:tcPr>
          <w:p>
            <w:r>
              <w:rPr>
                <w:color w:val="000000"/>
              </w:rPr>
              <w:t>Utilitas &amp; Kebersihan</w:t>
            </w:r>
          </w:p>
        </w:tc>
        <w:tc>
          <w:tcPr>
            <w:tcW w:type="dxa" w:w="3264"/>
            <w:tcMar>
              <w:top w:w="120" w:type="dxa"/>
              <w:bottom w:w="120" w:type="dxa"/>
              <w:left w:w="160" w:type="dxa"/>
              <w:right w:w="160" w:type="dxa"/>
            </w:tcMar>
          </w:tcPr>
          <w:p>
            <w:r>
              <w:rPr>
                <w:color w:val="000000"/>
              </w:rPr>
              <w:t>Rp 300,000</w:t>
            </w:r>
          </w:p>
        </w:tc>
      </w:tr>
      <w:tr>
        <w:tc>
          <w:tcPr>
            <w:tcW w:type="dxa" w:w="3264"/>
            <w:tcMar>
              <w:top w:w="120" w:type="dxa"/>
              <w:bottom w:w="120" w:type="dxa"/>
              <w:left w:w="160" w:type="dxa"/>
              <w:right w:w="160" w:type="dxa"/>
            </w:tcMar>
          </w:tcPr>
          <w:p>
            <w:r>
              <w:rPr>
                <w:color w:val="000000"/>
              </w:rPr>
              <w:t>Beban BBM Operasional (Xenia 2012)</w:t>
            </w:r>
          </w:p>
        </w:tc>
        <w:tc>
          <w:tcPr>
            <w:tcW w:type="dxa" w:w="3264"/>
            <w:tcMar>
              <w:top w:w="120" w:type="dxa"/>
              <w:bottom w:w="120" w:type="dxa"/>
              <w:left w:w="160" w:type="dxa"/>
              <w:right w:w="160" w:type="dxa"/>
            </w:tcMar>
          </w:tcPr>
          <w:p>
            <w:r>
              <w:rPr>
                <w:color w:val="000000"/>
              </w:rPr>
              <w:t>Logistik &amp; Sales</w:t>
            </w:r>
          </w:p>
        </w:tc>
        <w:tc>
          <w:tcPr>
            <w:tcW w:type="dxa" w:w="3264"/>
            <w:tcMar>
              <w:top w:w="120" w:type="dxa"/>
              <w:bottom w:w="120" w:type="dxa"/>
              <w:left w:w="160" w:type="dxa"/>
              <w:right w:w="160" w:type="dxa"/>
            </w:tcMar>
          </w:tcPr>
          <w:p>
            <w:r>
              <w:rPr>
                <w:color w:val="000000"/>
              </w:rPr>
              <w:t>Rp 1,200,000</w:t>
            </w:r>
          </w:p>
        </w:tc>
      </w:tr>
      <w:tr>
        <w:tc>
          <w:tcPr>
            <w:tcW w:type="dxa" w:w="3264"/>
            <w:tcMar>
              <w:top w:w="120" w:type="dxa"/>
              <w:bottom w:w="120" w:type="dxa"/>
              <w:left w:w="160" w:type="dxa"/>
              <w:right w:w="160" w:type="dxa"/>
            </w:tcMar>
          </w:tcPr>
          <w:p>
            <w:r>
              <w:rPr>
                <w:color w:val="000000"/>
              </w:rPr>
              <w:t>Beban Konsumsi Pabrik (3-4 Tim)</w:t>
            </w:r>
          </w:p>
        </w:tc>
        <w:tc>
          <w:tcPr>
            <w:tcW w:type="dxa" w:w="3264"/>
            <w:tcMar>
              <w:top w:w="120" w:type="dxa"/>
              <w:bottom w:w="120" w:type="dxa"/>
              <w:left w:w="160" w:type="dxa"/>
              <w:right w:w="160" w:type="dxa"/>
            </w:tcMar>
          </w:tcPr>
          <w:p>
            <w:r>
              <w:rPr>
                <w:color w:val="000000"/>
              </w:rPr>
              <w:t>Kesejahteraan Karyawan</w:t>
            </w:r>
          </w:p>
        </w:tc>
        <w:tc>
          <w:tcPr>
            <w:tcW w:type="dxa" w:w="3264"/>
            <w:tcMar>
              <w:top w:w="120" w:type="dxa"/>
              <w:bottom w:w="120" w:type="dxa"/>
              <w:left w:w="160" w:type="dxa"/>
              <w:right w:w="160" w:type="dxa"/>
            </w:tcMar>
          </w:tcPr>
          <w:p>
            <w:r>
              <w:rPr>
                <w:color w:val="000000"/>
              </w:rPr>
              <w:t>Rp 800,000</w:t>
            </w:r>
          </w:p>
        </w:tc>
      </w:tr>
      <w:tr>
        <w:tc>
          <w:tcPr>
            <w:tcW w:type="dxa" w:w="3264"/>
            <w:tcMar>
              <w:top w:w="120" w:type="dxa"/>
              <w:bottom w:w="120" w:type="dxa"/>
              <w:left w:w="160" w:type="dxa"/>
              <w:right w:w="160" w:type="dxa"/>
            </w:tcMar>
          </w:tcPr>
          <w:p>
            <w:r>
              <w:rPr>
                <w:color w:val="000000"/>
              </w:rPr>
              <w:t>Beban Pemeliharaan &amp; ATK</w:t>
            </w:r>
          </w:p>
        </w:tc>
        <w:tc>
          <w:tcPr>
            <w:tcW w:type="dxa" w:w="3264"/>
            <w:tcMar>
              <w:top w:w="120" w:type="dxa"/>
              <w:bottom w:w="120" w:type="dxa"/>
              <w:left w:w="160" w:type="dxa"/>
              <w:right w:w="160" w:type="dxa"/>
            </w:tcMar>
          </w:tcPr>
          <w:p>
            <w:r>
              <w:rPr>
                <w:color w:val="000000"/>
              </w:rPr>
              <w:t>Operasional Umum</w:t>
            </w:r>
          </w:p>
        </w:tc>
        <w:tc>
          <w:tcPr>
            <w:tcW w:type="dxa" w:w="3264"/>
            <w:tcMar>
              <w:top w:w="120" w:type="dxa"/>
              <w:bottom w:w="120" w:type="dxa"/>
              <w:left w:w="160" w:type="dxa"/>
              <w:right w:w="160" w:type="dxa"/>
            </w:tcMar>
          </w:tcPr>
          <w:p>
            <w:r>
              <w:rPr>
                <w:color w:val="000000"/>
              </w:rPr>
              <w:t>Rp 500,000</w:t>
            </w:r>
          </w:p>
        </w:tc>
      </w:tr>
      <w:tr>
        <w:tc>
          <w:tcPr>
            <w:tcW w:type="dxa" w:w="3264"/>
            <w:tcMar>
              <w:top w:w="120" w:type="dxa"/>
              <w:bottom w:w="120" w:type="dxa"/>
              <w:left w:w="160" w:type="dxa"/>
              <w:right w:w="160" w:type="dxa"/>
            </w:tcMar>
            <w:shd w:fill="F1F5F9"/>
          </w:tcPr>
          <w:p>
            <w:r>
              <w:rPr>
                <w:b/>
                <w:color w:val="000000"/>
              </w:rPr>
              <w:t>TOTAL BIAYA TETAP OPERASIONAL (OPEX)</w:t>
            </w:r>
          </w:p>
        </w:tc>
        <w:tc>
          <w:tcPr>
            <w:tcW w:type="dxa" w:w="3264"/>
            <w:tcMar>
              <w:top w:w="120" w:type="dxa"/>
              <w:bottom w:w="120" w:type="dxa"/>
              <w:left w:w="160" w:type="dxa"/>
              <w:right w:w="160" w:type="dxa"/>
            </w:tcMar>
            <w:shd w:fill="F1F5F9"/>
          </w:tcPr>
          <w:p>
            <w:r>
              <w:rPr>
                <w:b/>
                <w:color w:val="000000"/>
              </w:rPr>
              <w:t>TOTAL FIXED COST</w:t>
            </w:r>
          </w:p>
        </w:tc>
        <w:tc>
          <w:tcPr>
            <w:tcW w:type="dxa" w:w="3264"/>
            <w:tcMar>
              <w:top w:w="120" w:type="dxa"/>
              <w:bottom w:w="120" w:type="dxa"/>
              <w:left w:w="160" w:type="dxa"/>
              <w:right w:w="160" w:type="dxa"/>
            </w:tcMar>
            <w:shd w:fill="F1F5F9"/>
          </w:tcPr>
          <w:p>
            <w:r>
              <w:rPr>
                <w:b/>
                <w:color w:val="000000"/>
              </w:rPr>
              <w:t>Rp 12,000,000</w:t>
            </w:r>
          </w:p>
        </w:tc>
      </w:tr>
    </w:tbl>
    <w:p>
      <w:pPr>
        <w:pStyle w:val="Heading2"/>
      </w:pPr>
      <w:r>
        <w:rPr>
          <w:b/>
          <w:color w:val="000000"/>
        </w:rPr>
        <w:t>3. POSISI ASET &amp; KEWAJIBAN RESTRUKTURISASI</w:t>
      </w:r>
    </w:p>
    <w:p>
      <w:pPr>
        <w:spacing w:line="276" w:lineRule="auto"/>
      </w:pPr>
      <w:r>
        <w:rPr>
          <w:color w:val="000000"/>
        </w:rPr>
        <w:t>• Total Nilai Perolehan Aset Tetap: Rp 260,000,000 (Daihatsu Xenia 2012, 2 Mesin Pengaduk Manual, Pabrik Pagung)</w:t>
        <w:br/>
        <w:t>• Alokasi Beban Penyusutan Bulanan: Rp 2,625,000 / bulan</w:t>
        <w:br/>
        <w:t>• Sisa Hutang Usaha Restrukturisasi: Rp 700,000,000 (Target penyelesaian via cicilan bertahap dari profit produk)</w:t>
      </w:r>
    </w:p>
    <w:p>
      <w:r>
        <w:br/>
      </w:r>
    </w:p>
    <w:tbl>
      <w:tblPr>
        <w:tblW w:type="auto" w:w="0"/>
        <w:jc w:val="center"/>
        <w:tblLook w:firstColumn="1" w:firstRow="1" w:lastColumn="0" w:lastRow="0" w:noHBand="0" w:noVBand="1" w:val="04A0"/>
      </w:tblPr>
      <w:tblGrid>
        <w:gridCol w:w="4896"/>
        <w:gridCol w:w="4896"/>
      </w:tblGrid>
      <w:tr>
        <w:tc>
          <w:tcPr>
            <w:tcW w:type="dxa" w:w="4896"/>
            <w:tcMar>
              <w:top w:w="120" w:type="dxa"/>
              <w:bottom w:w="120" w:type="dxa"/>
              <w:left w:w="160" w:type="dxa"/>
              <w:right w:w="160" w:type="dxa"/>
            </w:tcMar>
          </w:tcPr>
          <w:p>
            <w:pPr>
              <w:jc w:val="center"/>
            </w:pPr>
            <w:r>
              <w:rPr>
                <w:color w:val="000000"/>
              </w:rPr>
              <w:t>Dibuat &amp; Dilaporkan Oleh:</w:t>
            </w:r>
          </w:p>
        </w:tc>
        <w:tc>
          <w:tcPr>
            <w:tcW w:type="dxa" w:w="4896"/>
            <w:tcMar>
              <w:top w:w="120" w:type="dxa"/>
              <w:bottom w:w="120" w:type="dxa"/>
              <w:left w:w="160" w:type="dxa"/>
              <w:right w:w="160" w:type="dxa"/>
            </w:tcMar>
          </w:tcPr>
          <w:p>
            <w:pPr>
              <w:jc w:val="center"/>
            </w:pPr>
            <w:r>
              <w:rPr>
                <w:color w:val="000000"/>
              </w:rPr>
              <w:t>Disetujui &amp; Diketahui Oleh:</w:t>
            </w:r>
          </w:p>
        </w:tc>
      </w:tr>
      <w:tr>
        <w:tc>
          <w:tcPr>
            <w:tcW w:type="dxa" w:w="4896"/>
            <w:tcMar>
              <w:top w:w="120" w:type="dxa"/>
              <w:bottom w:w="120" w:type="dxa"/>
              <w:left w:w="160" w:type="dxa"/>
              <w:right w:w="160" w:type="dxa"/>
            </w:tcMar>
          </w:tcPr>
          <w:p>
            <w:pPr>
              <w:jc w:val="center"/>
            </w:pPr>
            <w:r>
              <w:rPr>
                <w:color w:val="000000"/>
              </w:rPr>
              <w:br/>
              <w:br/>
              <w:br/>
            </w:r>
          </w:p>
        </w:tc>
        <w:tc>
          <w:tcPr>
            <w:tcW w:type="dxa" w:w="4896"/>
            <w:tcMar>
              <w:top w:w="120" w:type="dxa"/>
              <w:bottom w:w="120" w:type="dxa"/>
              <w:left w:w="160" w:type="dxa"/>
              <w:right w:w="160" w:type="dxa"/>
            </w:tcMar>
          </w:tcPr>
          <w:p>
            <w:pPr>
              <w:jc w:val="center"/>
            </w:pPr>
            <w:r>
              <w:rPr>
                <w:color w:val="000000"/>
              </w:rPr>
              <w:br/>
              <w:br/>
              <w:br/>
            </w:r>
          </w:p>
        </w:tc>
      </w:tr>
      <w:tr>
        <w:tc>
          <w:tcPr>
            <w:tcW w:type="dxa" w:w="4896"/>
            <w:tcMar>
              <w:top w:w="120" w:type="dxa"/>
              <w:bottom w:w="120" w:type="dxa"/>
              <w:left w:w="160" w:type="dxa"/>
              <w:right w:w="160" w:type="dxa"/>
            </w:tcMar>
          </w:tcPr>
          <w:p>
            <w:pPr>
              <w:jc w:val="center"/>
            </w:pPr>
            <w:r>
              <w:rPr>
                <w:color w:val="000000"/>
              </w:rPr>
              <w:t>YERIKHO ARFENSIAS EFFENDI</w:t>
              <w:br/>
              <w:t>General Manager / Finance &amp; Ops</w:t>
            </w:r>
          </w:p>
        </w:tc>
        <w:tc>
          <w:tcPr>
            <w:tcW w:type="dxa" w:w="4896"/>
            <w:tcMar>
              <w:top w:w="120" w:type="dxa"/>
              <w:bottom w:w="120" w:type="dxa"/>
              <w:left w:w="160" w:type="dxa"/>
              <w:right w:w="160" w:type="dxa"/>
            </w:tcMar>
          </w:tcPr>
          <w:p>
            <w:pPr>
              <w:jc w:val="center"/>
            </w:pPr>
            <w:r>
              <w:rPr>
                <w:color w:val="000000"/>
              </w:rPr>
              <w:t>YAN EFFENDI</w:t>
              <w:br/>
              <w:t>Direktur Utama</w:t>
            </w:r>
          </w:p>
        </w:tc>
      </w:tr>
    </w:tbl>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Yerikho Arfensias Effendi</Manager>
  <Company>PT Kediri Chemical Abadi</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Laporan Keuangan Bulanan Kca September 2026</dc:title>
  <dc:subject>Sistem Manajemen Mutu ISO 9001:2015 &amp; Operasional Bisnis</dc:subject>
  <dc:creator>Yerikho Arfensias Effendi</dc:creator>
  <cp:keywords>PT Kediri Chemical Abadi, ISO 9001, CPKRT, SOP, Manajemen</cp:keywords>
  <dc:description>Dokumen Terkendali PT Kediri Chemical Abadi</dc:description>
  <cp:lastModifiedBy>Yerikho Arfensias Effendi</cp:lastModifiedBy>
  <cp:revision>6</cp:revision>
  <dcterms:created xsi:type="dcterms:W3CDTF">2026-08-11T14:27:30Z</dcterms:created>
  <dcterms:modified xsi:type="dcterms:W3CDTF">2026-08-20T16:18:26Z</dcterms:modified>
  <cp:category>Dokumen Manajemen KCA</cp:category>
</cp:coreProperties>
</file>