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Plan de Gestión de los Riesgos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18 de octubre de 2026 (entrega Fase 2)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1.1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Introducción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El Plan de Gestión de los Riesgos del Proyecto Barbería Big-Boys define la metodología para identificar, analizar, responder y monitorear los riesgos del proyecto y del producto. Sigue el enfoque de gestión de riesgos del PMBOK (Project Management Institute [PMI], 2021), incorpora explícitamente el riesgo regulatorio de la Ley N° 21.719 (Ley N° 21.719, 2024) y cuantifica el riesgo evitado de sanciones como valor agregado del producto.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Metodología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Identificación en cada reunión semanal y en cada hito.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Análisis cualitativo: probabilidad (1–5) × impacto (1–5); nivel Alto ≥ 15, Medio 8–14, Bajo ≤ 7.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Estrategias: evitar, mitigar, transferir o aceptar.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Monitoreo semanal; los riesgos Altos se informan al patrocinador.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Registro de Riesgos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Registro de Riesgos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570"/>
        <w:gridCol w:w="2280"/>
        <w:gridCol w:w="950"/>
        <w:gridCol w:w="380"/>
        <w:gridCol w:w="380"/>
        <w:gridCol w:w="855"/>
        <w:gridCol w:w="2945"/>
        <w:gridCol w:w="1140"/>
      </w:tblGrid>
      <w:tr>
        <w:trPr>
          <w:tblHeader/>
        </w:trPr>
        <w:tc>
          <w:tcPr>
            <w:tcW w:w="5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ID</w:t>
            </w:r>
          </w:p>
        </w:tc>
        <w:tc>
          <w:tcPr>
            <w:tcW w:w="22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Riesgo</w:t>
            </w:r>
          </w:p>
        </w:tc>
        <w:tc>
          <w:tcPr>
            <w:tcW w:w="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Categoría</w:t>
            </w:r>
          </w:p>
        </w:tc>
        <w:tc>
          <w:tcPr>
            <w:tcW w:w="3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P</w:t>
            </w:r>
          </w:p>
        </w:tc>
        <w:tc>
          <w:tcPr>
            <w:tcW w:w="3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I</w:t>
            </w:r>
          </w:p>
        </w:tc>
        <w:tc>
          <w:tcPr>
            <w:tcW w:w="8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Nivel</w:t>
            </w:r>
          </w:p>
        </w:tc>
        <w:tc>
          <w:tcPr>
            <w:tcW w:w="294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Respuesta</w:t>
            </w:r>
          </w:p>
        </w:tc>
        <w:tc>
          <w:tcPr>
            <w:tcW w:w="11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Dueño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R-01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Sanción por incumplimiento de la normativa de datos personales (Ley N° 21.719) al entrar en vigencia el 01-12-2026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Legal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2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5</w:t>
            </w:r>
          </w:p>
        </w:tc>
        <w:tc>
          <w:tcPr>
            <w:tcW w:w="855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Medio (10)</w:t>
            </w:r>
          </w:p>
        </w:tc>
        <w:tc>
          <w:tcPr>
            <w:tcW w:w="2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Evitar: Cumplimiento desde el diseño: consentimientos, «Mis datos», RAT, auditoría, retención, procedimiento de brechas y políticas publicadas antes del lanzamiento.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Dueño/a (responsable de cumplimiento) / YR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R-02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Atraso en la migración de la web y la app al modelo relacional (actividad crítica 1.4.3; la base de datos ya opera en Supabase desde el 20-10-2026)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Cronograma</w:t>
            </w:r>
          </w:p>
        </w:tc>
        <w:tc>
          <w:tcPr>
            <w:tcW w:w="3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4</w:t>
            </w:r>
          </w:p>
        </w:tc>
        <w:tc>
          <w:tcPr>
            <w:tcW w:w="3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4</w:t>
            </w:r>
          </w:p>
        </w:tc>
        <w:tc>
          <w:tcPr>
            <w:tcW w:w="855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Alto (16)</w:t>
            </w:r>
          </w:p>
        </w:tc>
        <w:tc>
          <w:tcPr>
            <w:tcW w:w="29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Mitigar: Priorizar el flujo de reserva con abono; reutilizar pantallas; punto de control el 23-10-2026; reserva de contingencia.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JO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R-03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Brecha de seguridad o exposición de credenciales (se detectó una clave de correo en el código del prototipo; el 22-10-2026 se trasladó a archivos .env excluidos del repositorio)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Seguridad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5</w:t>
            </w:r>
          </w:p>
        </w:tc>
        <w:tc>
          <w:tcPr>
            <w:tcW w:w="855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Alto (15)</w:t>
            </w:r>
          </w:p>
        </w:tc>
        <w:tc>
          <w:tcPr>
            <w:tcW w:w="2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Mitigar: secretos en variables de entorno fuera del repositorio (aplicado el 22-10-2026), envío de correos desde el servidor y no desde la app, revisión de código antes de cada commit, TLS, cifrado en reposo y procedimiento de notificación.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JO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R-04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Baja adopción de la reserva online por los clientes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Negocio</w:t>
            </w:r>
          </w:p>
        </w:tc>
        <w:tc>
          <w:tcPr>
            <w:tcW w:w="3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</w:t>
            </w:r>
          </w:p>
        </w:tc>
        <w:tc>
          <w:tcPr>
            <w:tcW w:w="3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</w:t>
            </w:r>
          </w:p>
        </w:tc>
        <w:tc>
          <w:tcPr>
            <w:tcW w:w="855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Medio (9)</w:t>
            </w:r>
          </w:p>
        </w:tc>
        <w:tc>
          <w:tcPr>
            <w:tcW w:w="29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Mitigar: Pop-up de invitado con beneficio, reserva en menos de 60 s, cupón de bienvenida y difusión en el local.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Dueño/a / YR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R-05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Fallas o demoras en la integración con la pasarela de pago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Técnico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4</w:t>
            </w:r>
          </w:p>
        </w:tc>
        <w:tc>
          <w:tcPr>
            <w:tcW w:w="855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Medio (12)</w:t>
            </w:r>
          </w:p>
        </w:tc>
        <w:tc>
          <w:tcPr>
            <w:tcW w:w="2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Mitigar: Ambiente de integración de Transbank desde el 19-10; alternativa Mercado Pago; pruebas de casos de rechazo.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JO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R-06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Resistencia del personal a dejar la planilla Excel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Organizacional</w:t>
            </w:r>
          </w:p>
        </w:tc>
        <w:tc>
          <w:tcPr>
            <w:tcW w:w="3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</w:t>
            </w:r>
          </w:p>
        </w:tc>
        <w:tc>
          <w:tcPr>
            <w:tcW w:w="3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</w:t>
            </w:r>
          </w:p>
        </w:tc>
        <w:tc>
          <w:tcPr>
            <w:tcW w:w="855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Medio (9)</w:t>
            </w:r>
          </w:p>
        </w:tc>
        <w:tc>
          <w:tcPr>
            <w:tcW w:w="29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Mitigar: Capacitación de 30 min, guía rápida, registro de atención en 3 toques y marcha blanca acompañada.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YR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R-07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Comisión mínima de la pasarela eleva el costo del abono a 3,7–5,7%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Financiero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5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2</w:t>
            </w:r>
          </w:p>
        </w:tc>
        <w:tc>
          <w:tcPr>
            <w:tcW w:w="855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Medio (10)</w:t>
            </w:r>
          </w:p>
        </w:tc>
        <w:tc>
          <w:tcPr>
            <w:tcW w:w="2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Aceptar: Monto de abono parametrizable; evaluar Mercado Pago; informar al dueño/a.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Dueño/a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R-08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Pérdida de datos por falla del servidor o del proveedor de base de datos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Continuidad</w:t>
            </w:r>
          </w:p>
        </w:tc>
        <w:tc>
          <w:tcPr>
            <w:tcW w:w="3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2</w:t>
            </w:r>
          </w:p>
        </w:tc>
        <w:tc>
          <w:tcPr>
            <w:tcW w:w="3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5</w:t>
            </w:r>
          </w:p>
        </w:tc>
        <w:tc>
          <w:tcPr>
            <w:tcW w:w="855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Medio (10)</w:t>
            </w:r>
          </w:p>
        </w:tc>
        <w:tc>
          <w:tcPr>
            <w:tcW w:w="29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Mitigar: Respaldo diario cifrado con 30 días de retención, prueba de restauración trimestral (RPO 24 h, RTO 4 h). En Supabase, el plan Free no incluye respaldos y el Pro los conserva 7 días: se agrega un respaldo lógico diario propio (pg_dump cifrado) para cubrir los 30 días.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JO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R-09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Transferencia internacional de datos: la base de datos está alojada en Supabase (EE. UU.)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Legal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2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</w:t>
            </w:r>
          </w:p>
        </w:tc>
        <w:tc>
          <w:tcPr>
            <w:tcW w:w="855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Bajo (6)</w:t>
            </w:r>
          </w:p>
        </w:tc>
        <w:tc>
          <w:tcPr>
            <w:tcW w:w="2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Mitigar: declarar la transferencia en la Política de Privacidad y en el RAT; respaldarla con el acuerdo de tratamiento de datos (DPA) del proveedor; evaluar una región en Chile al escalar.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Dueño/a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R-10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Supuestos de demanda, servicio de los clientes perdidos y no-show incorrectos (KPIs y ROI sobre o subestimados)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Negocio</w:t>
            </w:r>
          </w:p>
        </w:tc>
        <w:tc>
          <w:tcPr>
            <w:tcW w:w="3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</w:t>
            </w:r>
          </w:p>
        </w:tc>
        <w:tc>
          <w:tcPr>
            <w:tcW w:w="3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</w:t>
            </w:r>
          </w:p>
        </w:tc>
        <w:tc>
          <w:tcPr>
            <w:tcW w:w="855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Medio (9)</w:t>
            </w:r>
          </w:p>
        </w:tc>
        <w:tc>
          <w:tcPr>
            <w:tcW w:w="29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Mitigar: Validar supuestos con el dueño/a; análisis de sensibilidad del precio (Barba a S. Completo); medir abandono y ticket reales desde la marcha blanca.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YR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R-11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Doble reserva del mismo horario por concurrencia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Técnico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2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4</w:t>
            </w:r>
          </w:p>
        </w:tc>
        <w:tc>
          <w:tcPr>
            <w:tcW w:w="855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Medio (8)</w:t>
            </w:r>
          </w:p>
        </w:tc>
        <w:tc>
          <w:tcPr>
            <w:tcW w:w="2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Evitar: Restricción de exclusión en PostgreSQL (verificada) y manejo del error 409 en la interfaz.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JO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R-12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Postergación de la Ley N° 21.719 a diciembre de 2027 (proyecto de ley en trámite)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Regulatorio</w:t>
            </w:r>
          </w:p>
        </w:tc>
        <w:tc>
          <w:tcPr>
            <w:tcW w:w="3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</w:t>
            </w:r>
          </w:p>
        </w:tc>
        <w:tc>
          <w:tcPr>
            <w:tcW w:w="3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</w:t>
            </w:r>
          </w:p>
        </w:tc>
        <w:tc>
          <w:tcPr>
            <w:tcW w:w="855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Bajo (3)</w:t>
            </w:r>
          </w:p>
        </w:tc>
        <w:tc>
          <w:tcPr>
            <w:tcW w:w="29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Aceptar: Sin impacto en el producto: ya cumple; se mantiene como valor agregado.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YR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R-13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Disponibilidad limitada del equipo (2 integrantes, carga académica)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Recursos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</w:t>
            </w:r>
          </w:p>
        </w:tc>
        <w:tc>
          <w:tcPr>
            <w:tcW w:w="855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Medio (9)</w:t>
            </w:r>
          </w:p>
        </w:tc>
        <w:tc>
          <w:tcPr>
            <w:tcW w:w="2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Mitigar: Reunión semanal fija, tareas pequeñas en tablero, trabajo asíncrono vía GitHub.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YR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R-14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Acceso público a las tablas del prototipo en Supabase (RLS permisivo para la clave pública) mientras la web y la app las usen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Seguridad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</w:t>
            </w:r>
          </w:p>
        </w:tc>
        <w:tc>
          <w:tcPr>
            <w:tcW w:w="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4</w:t>
            </w:r>
          </w:p>
        </w:tc>
        <w:tc>
          <w:tcPr>
            <w:tcW w:w="855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Medio (12)</w:t>
            </w:r>
          </w:p>
        </w:tc>
        <w:tc>
          <w:tcPr>
            <w:tcW w:w="2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Mitigar: no cargar datos reales; migrar la web y la app al modelo relacional con autenticación; cerrar esas tablas y definir políticas RLS por rol.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JO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Matriz de Probabilidad e Impacto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Matriz de Probabilidad e Impacto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90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Probabilidad \ Impacto</w:t>
            </w:r>
          </w:p>
        </w:tc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I = 1</w:t>
            </w:r>
          </w:p>
        </w:tc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I = 2</w:t>
            </w:r>
          </w:p>
        </w:tc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I = 3</w:t>
            </w:r>
          </w:p>
        </w:tc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I = 4</w:t>
            </w:r>
          </w:p>
        </w:tc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I = 5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 = 5</w:t>
            </w:r>
          </w:p>
        </w:tc>
        <w:tc>
          <w:tcPr>
            <w:tcW w:w="152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52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R-07</w:t>
            </w:r>
          </w:p>
        </w:tc>
        <w:tc>
          <w:tcPr>
            <w:tcW w:w="152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52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52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 = 4</w:t>
            </w:r>
          </w:p>
        </w:tc>
        <w:tc>
          <w:tcPr>
            <w:tcW w:w="152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52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52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52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R-02</w:t>
            </w:r>
          </w:p>
        </w:tc>
        <w:tc>
          <w:tcPr>
            <w:tcW w:w="152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 = 3</w:t>
            </w:r>
          </w:p>
        </w:tc>
        <w:tc>
          <w:tcPr>
            <w:tcW w:w="152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R-12</w:t>
            </w:r>
          </w:p>
        </w:tc>
        <w:tc>
          <w:tcPr>
            <w:tcW w:w="152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52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R-04, R-06, R-10, R-13</w:t>
            </w:r>
          </w:p>
        </w:tc>
        <w:tc>
          <w:tcPr>
            <w:tcW w:w="152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R-05, R-14</w:t>
            </w:r>
          </w:p>
        </w:tc>
        <w:tc>
          <w:tcPr>
            <w:tcW w:w="152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R-03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 = 2</w:t>
            </w:r>
          </w:p>
        </w:tc>
        <w:tc>
          <w:tcPr>
            <w:tcW w:w="152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52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52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R-09</w:t>
            </w:r>
          </w:p>
        </w:tc>
        <w:tc>
          <w:tcPr>
            <w:tcW w:w="152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R-11</w:t>
            </w:r>
          </w:p>
        </w:tc>
        <w:tc>
          <w:tcPr>
            <w:tcW w:w="152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R-01, R-08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 = 1</w:t>
            </w:r>
          </w:p>
        </w:tc>
        <w:tc>
          <w:tcPr>
            <w:tcW w:w="152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52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52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52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52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5. Riesgo Regulatorio y Valor del Cumplimiento Anticipado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 xml:space="preserve">La Ley N° 21.719 entra en plena vigencia el 1 de diciembre de 2026, tres semanas después de la entrega del proyecto. Un sistema que no cumpla quedaría expuesto a sanciones desde su primer mes de operación. Al diseñar el sistema cumpliendo desde su lanzamiento, el riesgo R-01 se trata con la estrategia </w:t>
      </w:r>
      <w:r>
        <w:rPr>
          <w:rFonts w:ascii="Arial" w:hAnsi="Arial" w:cs="Arial" w:eastAsia="Arial"/>
          <w:b/>
          <w:bCs/>
          <w:sz w:val="22"/>
          <w:szCs w:val="22"/>
        </w:rPr>
        <w:t>evitar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Riesgo de sanciones evitado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4275"/>
        <w:gridCol w:w="1900"/>
        <w:gridCol w:w="3325"/>
      </w:tblGrid>
      <w:tr>
        <w:trPr>
          <w:tblHeader/>
        </w:trPr>
        <w:tc>
          <w:tcPr>
            <w:tcW w:w="42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Tipo de infracción (régimen sancionatorio, art. 35 — Ley N° 21.719)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Multa máxima</w:t>
            </w:r>
          </w:p>
        </w:tc>
        <w:tc>
          <w:tcPr>
            <w:tcW w:w="33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Equivalente en CLP (UTM oct-2026 = $72.151)</w:t>
            </w:r>
          </w:p>
        </w:tc>
      </w:tr>
      <w:tr>
        <w:trPr>
          <w:cantSplit/>
        </w:trPr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Leve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5.000 UTM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$360.755.000</w:t>
            </w:r>
          </w:p>
        </w:tc>
      </w:tr>
      <w:tr>
        <w:trPr>
          <w:cantSplit/>
        </w:trPr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Grave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10.000 UTM</w:t>
            </w:r>
          </w:p>
        </w:tc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$721.510.000</w:t>
            </w:r>
          </w:p>
        </w:tc>
      </w:tr>
      <w:tr>
        <w:trPr>
          <w:cantSplit/>
        </w:trPr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Gravísima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20.000 UTM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$1.443.020.000</w:t>
            </w:r>
          </w:p>
        </w:tc>
      </w:tr>
    </w:tbl>
    <w:p>
      <w:pPr>
        <w:spacing w:before="0" w:after="60"/>
      </w:pPr>
    </w:p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Montos máximos del régimen sancionatorio (Ley N° 21.719, 2024), convertidos con la UTM de octubre de 2026, $72.151 (SII, 2026a). En caso de reincidencia, para empresas que no son de menor tamaño, la multa puede triplicarse o alcanzar el 2% (graves) o 4% (gravísimas) de los ingresos anuales. Durante los primeros 12 meses de vigencia, las empresas de menor tamaño pueden recibir amonestación escrita en lugar de multa (art. 6° transitorio).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El proyecto de ley que propone postergar la vigencia al 1 de diciembre de 2027 (ingresado al Senado el 1 de septiembre de 2026; Carey Abogados, 2026) se menciona solo como contexto: no afecta al producto, porque ya cumple (R-12).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6. Seguimiento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Responsable del plan: Jefe de Proyecto. Revisión semanal; los cambios de nivel se registran en el Informe de Estado de Avance (12).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7. Registro de Cambios de este Plan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Registro de Cambios de este Plan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140"/>
        <w:gridCol w:w="1710"/>
        <w:gridCol w:w="6650"/>
      </w:tblGrid>
      <w:tr>
        <w:trPr>
          <w:tblHeader/>
        </w:trPr>
        <w:tc>
          <w:tcPr>
            <w:tcW w:w="11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7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6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</w:tr>
      <w:tr>
        <w:trPr>
          <w:cantSplit/>
        </w:trPr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1.0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09-10-2026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Versión inicial: 13 riesgos, matriz y riesgo regulatorio cuantificado.</w:t>
            </w:r>
          </w:p>
        </w:tc>
      </w:tr>
      <w:tr>
        <w:trPr>
          <w:cantSplit/>
        </w:trPr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1.1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22-10-2026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R-02 y R-08 actualizados por la implementación en Supabase; R-09 redefinido como transferencia internacional (20-10-2026); nuevo R-14 (tablas del prototipo con acceso público); R-03 actualizado (clave de correo trasladada a archivos .env). Total: 14 riesgos.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Carey Abogados. (2026). </w:t>
      </w:r>
      <w:r>
        <w:rPr>
          <w:rFonts w:ascii="Arial" w:hAnsi="Arial" w:cs="Arial" w:eastAsia="Arial"/>
          <w:i/>
          <w:iCs/>
          <w:sz w:val="22"/>
          <w:szCs w:val="22"/>
        </w:rPr>
        <w:t>Gobierno ingresa proyecto de ley que posterga en un año entrada en vigor de la Ley 21.719 sobre Protección de Datos Personales y fortalece la institucionalidad de la Agencia de Protección de Datos Personales</w:t>
      </w:r>
      <w:r>
        <w:rPr>
          <w:rFonts w:ascii="Arial" w:hAnsi="Arial" w:cs="Arial" w:eastAsia="Arial"/>
          <w:sz w:val="22"/>
          <w:szCs w:val="22"/>
        </w:rPr>
        <w:t>. https://www.carey.cl/gobierno-ingresa-proyecto-de-ley-que-posterga-en-un-ano-entrada-en-vigor-de-la-ley-sobre-proteccion-de-datos-personales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21.719. (2024, 13 de diciembre). </w:t>
      </w:r>
      <w:r>
        <w:rPr>
          <w:rFonts w:ascii="Arial" w:hAnsi="Arial" w:cs="Arial" w:eastAsia="Arial"/>
          <w:i/>
          <w:iCs/>
          <w:sz w:val="22"/>
          <w:szCs w:val="22"/>
        </w:rPr>
        <w:t>Regula la protección y el tratamiento de los datos personales y crea la Agencia de Protección de Datos Personales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https://www.bcn.cl/leychile/navegar?idNorma=1209272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Project Management Institute [PMI]. (2021). </w:t>
      </w:r>
      <w:r>
        <w:rPr>
          <w:rFonts w:ascii="Arial" w:hAnsi="Arial" w:cs="Arial" w:eastAsia="Arial"/>
          <w:i/>
          <w:iCs/>
          <w:sz w:val="22"/>
          <w:szCs w:val="22"/>
        </w:rPr>
        <w:t>A guide to the project management body of knowledge (PMBOK® guide)</w:t>
      </w:r>
      <w:r>
        <w:rPr>
          <w:rFonts w:ascii="Arial" w:hAnsi="Arial" w:cs="Arial" w:eastAsia="Arial"/>
          <w:sz w:val="22"/>
          <w:szCs w:val="22"/>
        </w:rPr>
        <w:t xml:space="preserve"> (7.ª ed.). Project Management Institute.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Servicio de Impuestos Internos [SII]. (2026a). </w:t>
      </w:r>
      <w:r>
        <w:rPr>
          <w:rFonts w:ascii="Arial" w:hAnsi="Arial" w:cs="Arial" w:eastAsia="Arial"/>
          <w:i/>
          <w:iCs/>
          <w:sz w:val="22"/>
          <w:szCs w:val="22"/>
        </w:rPr>
        <w:t>Unidad Tributaria Mensual (UTM) 2026</w:t>
      </w:r>
      <w:r>
        <w:rPr>
          <w:rFonts w:ascii="Arial" w:hAnsi="Arial" w:cs="Arial" w:eastAsia="Arial"/>
          <w:sz w:val="22"/>
          <w:szCs w:val="22"/>
        </w:rPr>
        <w:t>. Recuperado el 6 de octubre de 2026, de https://www.sii.cl/valores_y_fechas/utm/utm2026.htm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>Plan de Gestión de los Riesgos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2026-08-27T15:54:55.185Z</dcterms:created>
  <dcterms:modified xsi:type="dcterms:W3CDTF">2026-08-27T15:54:55.185Z</dcterms:modified>
  <dc:title>15_Plan_Gestion_Riesgos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