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b/>
          <w:bCs/>
          <w:color w:val="1F4E5F"/>
          <w:sz w:val="34"/>
          <w:szCs w:val="34"/>
        </w:rPr>
        <w:t>Proyecto Barbería Big-Boys</w:t>
      </w:r>
    </w:p>
    <w:p>
      <w:pPr>
        <w:spacing w:after="80"/>
        <w:jc w:val="center"/>
      </w:pPr>
      <w:r>
        <w:rPr>
          <w:b/>
          <w:bCs/>
          <w:sz w:val="22"/>
          <w:szCs w:val="22"/>
        </w:rPr>
        <w:t>Barbería Big-Boys</w:t>
      </w:r>
    </w:p>
    <w:p>
      <w:pPr>
        <w:spacing w:after="300"/>
        <w:jc w:val="center"/>
      </w:pPr>
      <w:r>
        <w:rPr>
          <w:color w:val="555555"/>
          <w:sz w:val="20"/>
          <w:szCs w:val="20"/>
        </w:rPr>
        <w:t>(DAS) Documento de Arquitectura de Software · Versión 3.1</w:t>
      </w:r>
    </w:p>
    <w:p>
      <w:pPr>
        <w:pStyle w:val="Ttulo2"/>
        <w:keepNext/>
        <w:spacing w:before="220" w:after="100"/>
      </w:pPr>
      <w:r>
        <w:rPr>
          <w:b/>
          <w:bCs/>
          <w:color w:val="2E6B7E"/>
          <w:sz w:val="22"/>
          <w:szCs w:val="22"/>
        </w:rPr>
        <w:t>Identificación de documento</w:t>
      </w:r>
    </w:p>
    <w:p>
      <w:pPr>
        <w:keepNext/>
        <w:spacing w:before="160" w:after="0"/>
      </w:pPr>
      <w:r>
        <w:rPr>
          <w:b/>
          <w:bCs/>
          <w:sz w:val="20"/>
          <w:szCs w:val="20"/>
        </w:rPr>
        <w:t>Tabla 1</w:t>
      </w:r>
    </w:p>
    <w:p>
      <w:pPr>
        <w:keepNext/>
        <w:spacing w:before="0" w:after="80"/>
      </w:pPr>
      <w:r>
        <w:rPr>
          <w:i/>
          <w:iCs/>
          <w:sz w:val="20"/>
          <w:szCs w:val="20"/>
        </w:rPr>
        <w:t>Identificación de documento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48"/>
        <w:gridCol w:w="2059"/>
        <w:gridCol w:w="1310"/>
        <w:gridCol w:w="1310"/>
        <w:gridCol w:w="1874"/>
      </w:tblGrid>
      <w:tr>
        <w:trPr>
          <w:tblHeader/>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Proyecto</w:t>
            </w:r>
          </w:p>
        </w:tc>
        <w:tc>
          <w:tcPr>
            <w:tcW w:w="748"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Versión</w:t>
            </w:r>
          </w:p>
        </w:tc>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Mantenido por</w:t>
            </w:r>
          </w:p>
        </w:tc>
        <w:tc>
          <w:tcPr>
            <w:tcW w:w="1310"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Última revisión</w:t>
            </w:r>
          </w:p>
        </w:tc>
        <w:tc>
          <w:tcPr>
            <w:tcW w:w="1310"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Próxima revisión</w:t>
            </w:r>
          </w:p>
        </w:tc>
        <w:tc>
          <w:tcPr>
            <w:tcW w:w="1874"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Aprobado por</w:t>
            </w:r>
          </w:p>
        </w:tc>
      </w:tr>
      <w:tr>
        <w:trPr>
          <w:cantSplit/>
        </w:trPr>
        <w:tc>
          <w:tcPr>
            <w:tcW w:w="2059" w:type="dxa"/>
            <w:tcMar>
              <w:top w:w="70" w:type="dxa"/>
              <w:left w:w="90" w:type="dxa"/>
              <w:bottom w:w="70" w:type="dxa"/>
              <w:right w:w="90" w:type="dxa"/>
            </w:tcMar>
            <w:vAlign w:val="center"/>
          </w:tcPr>
          <w:p>
            <w:pPr>
              <w:spacing w:before="0" w:after="0" w:line="240" w:lineRule="auto"/>
            </w:pPr>
            <w:r>
              <w:rPr>
                <w:sz w:val="17"/>
                <w:szCs w:val="17"/>
              </w:rPr>
              <w:t>Proyecto Barbería Big-Boys</w:t>
            </w:r>
          </w:p>
        </w:tc>
        <w:tc>
          <w:tcPr>
            <w:tcW w:w="748" w:type="dxa"/>
            <w:tcMar>
              <w:top w:w="70" w:type="dxa"/>
              <w:left w:w="90" w:type="dxa"/>
              <w:bottom w:w="70" w:type="dxa"/>
              <w:right w:w="90" w:type="dxa"/>
            </w:tcMar>
            <w:vAlign w:val="center"/>
          </w:tcPr>
          <w:p>
            <w:pPr>
              <w:spacing w:before="0" w:after="0" w:line="240" w:lineRule="auto"/>
            </w:pPr>
            <w:r>
              <w:rPr>
                <w:sz w:val="17"/>
                <w:szCs w:val="17"/>
              </w:rPr>
              <w:t>3.2</w:t>
            </w:r>
          </w:p>
        </w:tc>
        <w:tc>
          <w:tcPr>
            <w:tcW w:w="2059" w:type="dxa"/>
            <w:tcMar>
              <w:top w:w="70" w:type="dxa"/>
              <w:left w:w="90" w:type="dxa"/>
              <w:bottom w:w="70" w:type="dxa"/>
              <w:right w:w="90" w:type="dxa"/>
            </w:tcMar>
            <w:vAlign w:val="center"/>
          </w:tcPr>
          <w:p>
            <w:pPr>
              <w:spacing w:before="0" w:after="0" w:line="240" w:lineRule="auto"/>
            </w:pPr>
            <w:r>
              <w:rPr>
                <w:sz w:val="17"/>
                <w:szCs w:val="17"/>
              </w:rPr>
              <w:t>Yerko Rosales / Jonathan Ojeda</w:t>
            </w:r>
          </w:p>
        </w:tc>
        <w:tc>
          <w:tcPr>
            <w:tcW w:w="1310" w:type="dxa"/>
            <w:tcMar>
              <w:top w:w="70" w:type="dxa"/>
              <w:left w:w="90" w:type="dxa"/>
              <w:bottom w:w="70" w:type="dxa"/>
              <w:right w:w="90" w:type="dxa"/>
            </w:tcMar>
            <w:vAlign w:val="center"/>
          </w:tcPr>
          <w:p>
            <w:pPr>
              <w:spacing w:before="0" w:after="0" w:line="240" w:lineRule="auto"/>
            </w:pPr>
            <w:r>
              <w:rPr>
                <w:sz w:val="17"/>
                <w:szCs w:val="17"/>
              </w:rPr>
              <w:t>22/10/26</w:t>
            </w:r>
          </w:p>
        </w:tc>
        <w:tc>
          <w:tcPr>
            <w:tcW w:w="1310" w:type="dxa"/>
            <w:tcMar>
              <w:top w:w="70" w:type="dxa"/>
              <w:left w:w="90" w:type="dxa"/>
              <w:bottom w:w="70" w:type="dxa"/>
              <w:right w:w="90" w:type="dxa"/>
            </w:tcMar>
            <w:vAlign w:val="center"/>
          </w:tcPr>
          <w:p>
            <w:pPr>
              <w:spacing w:before="0" w:after="0" w:line="240" w:lineRule="auto"/>
            </w:pPr>
            <w:r>
              <w:rPr>
                <w:sz w:val="17"/>
                <w:szCs w:val="17"/>
              </w:rPr>
              <w:t>30/10/26</w:t>
            </w:r>
          </w:p>
        </w:tc>
        <w:tc>
          <w:tcPr>
            <w:tcW w:w="1874" w:type="dxa"/>
            <w:tcMar>
              <w:top w:w="70" w:type="dxa"/>
              <w:left w:w="90" w:type="dxa"/>
              <w:bottom w:w="70" w:type="dxa"/>
              <w:right w:w="90" w:type="dxa"/>
            </w:tcMar>
            <w:vAlign w:val="center"/>
          </w:tcPr>
          <w:p>
            <w:pPr>
              <w:spacing w:before="0" w:after="0" w:line="240" w:lineRule="auto"/>
            </w:pPr>
            <w:r>
              <w:rPr>
                <w:sz w:val="17"/>
                <w:szCs w:val="17"/>
              </w:rPr>
              <w:t>[Pendiente: docente / patrocinador]</w:t>
            </w:r>
          </w:p>
        </w:tc>
      </w:tr>
    </w:tbl>
    <w:p>
      <w:pPr>
        <w:spacing w:before="0" w:after="60"/>
      </w:pPr>
    </w:p>
    <w:p>
      <w:pPr>
        <w:pStyle w:val="Ttulo2"/>
        <w:keepNext/>
        <w:spacing w:before="220" w:after="100"/>
      </w:pPr>
      <w:r>
        <w:rPr>
          <w:b/>
          <w:bCs/>
          <w:color w:val="2E6B7E"/>
          <w:sz w:val="22"/>
          <w:szCs w:val="22"/>
        </w:rPr>
        <w:t>Historia de revisiones</w:t>
      </w:r>
    </w:p>
    <w:p>
      <w:pPr>
        <w:keepNext/>
        <w:spacing w:before="160" w:after="0"/>
      </w:pPr>
      <w:r>
        <w:rPr>
          <w:b/>
          <w:bCs/>
          <w:sz w:val="20"/>
          <w:szCs w:val="20"/>
        </w:rPr>
        <w:t>Tabla 2</w:t>
      </w:r>
    </w:p>
    <w:p>
      <w:pPr>
        <w:keepNext/>
        <w:spacing w:before="0" w:after="80"/>
      </w:pPr>
      <w:r>
        <w:rPr>
          <w:i/>
          <w:iCs/>
          <w:sz w:val="20"/>
          <w:szCs w:val="20"/>
        </w:rPr>
        <w:t>Historia de revisiones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123"/>
        <w:gridCol w:w="842"/>
        <w:gridCol w:w="5522"/>
        <w:gridCol w:w="1873"/>
      </w:tblGrid>
      <w:tr>
        <w:trPr>
          <w:tblHeader/>
        </w:trPr>
        <w:tc>
          <w:tcPr>
            <w:tcW w:w="1123"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Fecha</w:t>
            </w:r>
          </w:p>
        </w:tc>
        <w:tc>
          <w:tcPr>
            <w:tcW w:w="842"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Versión</w:t>
            </w:r>
          </w:p>
        </w:tc>
        <w:tc>
          <w:tcPr>
            <w:tcW w:w="5522"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Descripción</w:t>
            </w:r>
          </w:p>
        </w:tc>
        <w:tc>
          <w:tcPr>
            <w:tcW w:w="1873"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Autor</w:t>
            </w:r>
          </w:p>
        </w:tc>
      </w:tr>
      <w:tr>
        <w:trPr>
          <w:cantSplit/>
        </w:trPr>
        <w:tc>
          <w:tcPr>
            <w:tcW w:w="1123" w:type="dxa"/>
            <w:tcMar>
              <w:top w:w="70" w:type="dxa"/>
              <w:left w:w="90" w:type="dxa"/>
              <w:bottom w:w="70" w:type="dxa"/>
              <w:right w:w="90" w:type="dxa"/>
            </w:tcMar>
            <w:vAlign w:val="center"/>
          </w:tcPr>
          <w:p>
            <w:pPr>
              <w:spacing w:before="0" w:after="0" w:line="240" w:lineRule="auto"/>
            </w:pPr>
            <w:r>
              <w:rPr>
                <w:sz w:val="17"/>
                <w:szCs w:val="17"/>
              </w:rPr>
              <w:t>04/09/26</w:t>
            </w:r>
          </w:p>
        </w:tc>
        <w:tc>
          <w:tcPr>
            <w:tcW w:w="842" w:type="dxa"/>
            <w:tcMar>
              <w:top w:w="70" w:type="dxa"/>
              <w:left w:w="90" w:type="dxa"/>
              <w:bottom w:w="70" w:type="dxa"/>
              <w:right w:w="90" w:type="dxa"/>
            </w:tcMar>
            <w:vAlign w:val="center"/>
          </w:tcPr>
          <w:p>
            <w:pPr>
              <w:spacing w:before="0" w:after="0" w:line="240" w:lineRule="auto"/>
            </w:pPr>
            <w:r>
              <w:rPr>
                <w:sz w:val="17"/>
                <w:szCs w:val="17"/>
              </w:rPr>
              <w:t>1.0</w:t>
            </w:r>
          </w:p>
        </w:tc>
        <w:tc>
          <w:tcPr>
            <w:tcW w:w="5522" w:type="dxa"/>
            <w:tcMar>
              <w:top w:w="70" w:type="dxa"/>
              <w:left w:w="90" w:type="dxa"/>
              <w:bottom w:w="70" w:type="dxa"/>
              <w:right w:w="90" w:type="dxa"/>
            </w:tcMar>
            <w:vAlign w:val="center"/>
          </w:tcPr>
          <w:p>
            <w:pPr>
              <w:spacing w:before="0" w:after="0" w:line="240" w:lineRule="auto"/>
            </w:pPr>
            <w:r>
              <w:rPr>
                <w:sz w:val="17"/>
                <w:szCs w:val="17"/>
              </w:rPr>
              <w:t>Primera versión (arquitectura en capas con API REST)</w:t>
            </w:r>
          </w:p>
        </w:tc>
        <w:tc>
          <w:tcPr>
            <w:tcW w:w="1873" w:type="dxa"/>
            <w:tcMar>
              <w:top w:w="70" w:type="dxa"/>
              <w:left w:w="90" w:type="dxa"/>
              <w:bottom w:w="70" w:type="dxa"/>
              <w:right w:w="90" w:type="dxa"/>
            </w:tcMar>
            <w:vAlign w:val="center"/>
          </w:tcPr>
          <w:p>
            <w:pPr>
              <w:spacing w:before="0" w:after="0" w:line="240" w:lineRule="auto"/>
            </w:pPr>
            <w:r>
              <w:rPr>
                <w:sz w:val="17"/>
                <w:szCs w:val="17"/>
              </w:rPr>
              <w:t>Yerko Rosales</w:t>
            </w:r>
          </w:p>
        </w:tc>
      </w:tr>
      <w:tr>
        <w:trPr>
          <w:cantSplit/>
        </w:trPr>
        <w:tc>
          <w:tcPr>
            <w:tcW w:w="1123" w:type="dxa"/>
            <w:shd w:val="clear" w:color="auto" w:fill="F2F6F7"/>
            <w:tcMar>
              <w:top w:w="70" w:type="dxa"/>
              <w:left w:w="90" w:type="dxa"/>
              <w:bottom w:w="70" w:type="dxa"/>
              <w:right w:w="90" w:type="dxa"/>
            </w:tcMar>
            <w:vAlign w:val="center"/>
          </w:tcPr>
          <w:p>
            <w:pPr>
              <w:spacing w:before="0" w:after="0" w:line="240" w:lineRule="auto"/>
            </w:pPr>
            <w:r>
              <w:rPr>
                <w:sz w:val="17"/>
                <w:szCs w:val="17"/>
              </w:rPr>
              <w:t>04/09/26</w:t>
            </w:r>
          </w:p>
        </w:tc>
        <w:tc>
          <w:tcPr>
            <w:tcW w:w="842" w:type="dxa"/>
            <w:shd w:val="clear" w:color="auto" w:fill="F2F6F7"/>
            <w:tcMar>
              <w:top w:w="70" w:type="dxa"/>
              <w:left w:w="90" w:type="dxa"/>
              <w:bottom w:w="70" w:type="dxa"/>
              <w:right w:w="90" w:type="dxa"/>
            </w:tcMar>
            <w:vAlign w:val="center"/>
          </w:tcPr>
          <w:p>
            <w:pPr>
              <w:spacing w:before="0" w:after="0" w:line="240" w:lineRule="auto"/>
            </w:pPr>
            <w:r>
              <w:rPr>
                <w:sz w:val="17"/>
                <w:szCs w:val="17"/>
              </w:rPr>
              <w:t>2.0</w:t>
            </w:r>
          </w:p>
        </w:tc>
        <w:tc>
          <w:tcPr>
            <w:tcW w:w="5522" w:type="dxa"/>
            <w:shd w:val="clear" w:color="auto" w:fill="F2F6F7"/>
            <w:tcMar>
              <w:top w:w="70" w:type="dxa"/>
              <w:left w:w="90" w:type="dxa"/>
              <w:bottom w:w="70" w:type="dxa"/>
              <w:right w:w="90" w:type="dxa"/>
            </w:tcMar>
            <w:vAlign w:val="center"/>
          </w:tcPr>
          <w:p>
            <w:pPr>
              <w:spacing w:before="0" w:after="0" w:line="240" w:lineRule="auto"/>
            </w:pPr>
            <w:r>
              <w:rPr>
                <w:sz w:val="17"/>
                <w:szCs w:val="17"/>
              </w:rPr>
              <w:t>App Android MVVM, Room/SQLite y Cloud Firestore; 37 RF / 6 RNF</w:t>
            </w:r>
          </w:p>
        </w:tc>
        <w:tc>
          <w:tcPr>
            <w:tcW w:w="1873" w:type="dxa"/>
            <w:shd w:val="clear" w:color="auto" w:fill="F2F6F7"/>
            <w:tcMar>
              <w:top w:w="70" w:type="dxa"/>
              <w:left w:w="90" w:type="dxa"/>
              <w:bottom w:w="70" w:type="dxa"/>
              <w:right w:w="90" w:type="dxa"/>
            </w:tcMar>
            <w:vAlign w:val="center"/>
          </w:tcPr>
          <w:p>
            <w:pPr>
              <w:spacing w:before="0" w:after="0" w:line="240" w:lineRule="auto"/>
            </w:pPr>
            <w:r>
              <w:rPr>
                <w:sz w:val="17"/>
                <w:szCs w:val="17"/>
              </w:rPr>
              <w:t>Yerko Rosales</w:t>
            </w:r>
          </w:p>
        </w:tc>
      </w:tr>
      <w:tr>
        <w:trPr>
          <w:cantSplit/>
        </w:trPr>
        <w:tc>
          <w:tcPr>
            <w:tcW w:w="1123" w:type="dxa"/>
            <w:tcMar>
              <w:top w:w="70" w:type="dxa"/>
              <w:left w:w="90" w:type="dxa"/>
              <w:bottom w:w="70" w:type="dxa"/>
              <w:right w:w="90" w:type="dxa"/>
            </w:tcMar>
            <w:vAlign w:val="center"/>
          </w:tcPr>
          <w:p>
            <w:pPr>
              <w:spacing w:before="0" w:after="0" w:line="240" w:lineRule="auto"/>
            </w:pPr>
            <w:r>
              <w:rPr>
                <w:sz w:val="17"/>
                <w:szCs w:val="17"/>
              </w:rPr>
              <w:t>04/09/26</w:t>
            </w:r>
          </w:p>
        </w:tc>
        <w:tc>
          <w:tcPr>
            <w:tcW w:w="842" w:type="dxa"/>
            <w:tcMar>
              <w:top w:w="70" w:type="dxa"/>
              <w:left w:w="90" w:type="dxa"/>
              <w:bottom w:w="70" w:type="dxa"/>
              <w:right w:w="90" w:type="dxa"/>
            </w:tcMar>
            <w:vAlign w:val="center"/>
          </w:tcPr>
          <w:p>
            <w:pPr>
              <w:spacing w:before="0" w:after="0" w:line="240" w:lineRule="auto"/>
            </w:pPr>
            <w:r>
              <w:rPr>
                <w:sz w:val="17"/>
                <w:szCs w:val="17"/>
              </w:rPr>
              <w:t>2.1</w:t>
            </w:r>
          </w:p>
        </w:tc>
        <w:tc>
          <w:tcPr>
            <w:tcW w:w="5522" w:type="dxa"/>
            <w:tcMar>
              <w:top w:w="70" w:type="dxa"/>
              <w:left w:w="90" w:type="dxa"/>
              <w:bottom w:w="70" w:type="dxa"/>
              <w:right w:w="90" w:type="dxa"/>
            </w:tcMar>
            <w:vAlign w:val="center"/>
          </w:tcPr>
          <w:p>
            <w:pPr>
              <w:spacing w:before="0" w:after="0" w:line="240" w:lineRule="auto"/>
            </w:pPr>
            <w:r>
              <w:rPr>
                <w:sz w:val="17"/>
                <w:szCs w:val="17"/>
              </w:rPr>
              <w:t>Versionado V1/V2 del alcance</w:t>
            </w:r>
          </w:p>
        </w:tc>
        <w:tc>
          <w:tcPr>
            <w:tcW w:w="1873" w:type="dxa"/>
            <w:tcMar>
              <w:top w:w="70" w:type="dxa"/>
              <w:left w:w="90" w:type="dxa"/>
              <w:bottom w:w="70" w:type="dxa"/>
              <w:right w:w="90" w:type="dxa"/>
            </w:tcMar>
            <w:vAlign w:val="center"/>
          </w:tcPr>
          <w:p>
            <w:pPr>
              <w:spacing w:before="0" w:after="0" w:line="240" w:lineRule="auto"/>
            </w:pPr>
            <w:r>
              <w:rPr>
                <w:sz w:val="17"/>
                <w:szCs w:val="17"/>
              </w:rPr>
              <w:t>Yerko Rosales</w:t>
            </w:r>
          </w:p>
        </w:tc>
      </w:tr>
      <w:tr>
        <w:trPr>
          <w:cantSplit/>
        </w:trPr>
        <w:tc>
          <w:tcPr>
            <w:tcW w:w="1123" w:type="dxa"/>
            <w:shd w:val="clear" w:color="auto" w:fill="F2F6F7"/>
            <w:tcMar>
              <w:top w:w="70" w:type="dxa"/>
              <w:left w:w="90" w:type="dxa"/>
              <w:bottom w:w="70" w:type="dxa"/>
              <w:right w:w="90" w:type="dxa"/>
            </w:tcMar>
            <w:vAlign w:val="center"/>
          </w:tcPr>
          <w:p>
            <w:pPr>
              <w:spacing w:before="0" w:after="0" w:line="240" w:lineRule="auto"/>
            </w:pPr>
            <w:r>
              <w:rPr>
                <w:sz w:val="17"/>
                <w:szCs w:val="17"/>
              </w:rPr>
              <w:t>06/10/26</w:t>
            </w:r>
          </w:p>
        </w:tc>
        <w:tc>
          <w:tcPr>
            <w:tcW w:w="842" w:type="dxa"/>
            <w:shd w:val="clear" w:color="auto" w:fill="F2F6F7"/>
            <w:tcMar>
              <w:top w:w="70" w:type="dxa"/>
              <w:left w:w="90" w:type="dxa"/>
              <w:bottom w:w="70" w:type="dxa"/>
              <w:right w:w="90" w:type="dxa"/>
            </w:tcMar>
            <w:vAlign w:val="center"/>
          </w:tcPr>
          <w:p>
            <w:pPr>
              <w:spacing w:before="0" w:after="0" w:line="240" w:lineRule="auto"/>
            </w:pPr>
            <w:r>
              <w:rPr>
                <w:sz w:val="17"/>
                <w:szCs w:val="17"/>
              </w:rPr>
              <w:t>3.0</w:t>
            </w:r>
          </w:p>
        </w:tc>
        <w:tc>
          <w:tcPr>
            <w:tcW w:w="5522" w:type="dxa"/>
            <w:shd w:val="clear" w:color="auto" w:fill="F2F6F7"/>
            <w:tcMar>
              <w:top w:w="70" w:type="dxa"/>
              <w:left w:w="90" w:type="dxa"/>
              <w:bottom w:w="70" w:type="dxa"/>
              <w:right w:w="90" w:type="dxa"/>
            </w:tcMar>
            <w:vAlign w:val="center"/>
          </w:tcPr>
          <w:p>
            <w:pPr>
              <w:spacing w:before="0" w:after="0" w:line="240" w:lineRule="auto"/>
            </w:pPr>
            <w:r>
              <w:rPr>
                <w:sz w:val="17"/>
                <w:szCs w:val="17"/>
              </w:rPr>
              <w:t>Modelo 4+1 completo con 34 diagramas; base de datos relacional PostgreSQL (reemplaza Firestore); 3 sucursales; abono parametrizable; módulo de privacidad; despliegue actual y futuro</w:t>
            </w:r>
          </w:p>
        </w:tc>
        <w:tc>
          <w:tcPr>
            <w:tcW w:w="1873" w:type="dxa"/>
            <w:shd w:val="clear" w:color="auto" w:fill="F2F6F7"/>
            <w:tcMar>
              <w:top w:w="70" w:type="dxa"/>
              <w:left w:w="90" w:type="dxa"/>
              <w:bottom w:w="70" w:type="dxa"/>
              <w:right w:w="90" w:type="dxa"/>
            </w:tcMar>
            <w:vAlign w:val="center"/>
          </w:tcPr>
          <w:p>
            <w:pPr>
              <w:spacing w:before="0" w:after="0" w:line="240" w:lineRule="auto"/>
            </w:pPr>
            <w:r>
              <w:rPr>
                <w:sz w:val="17"/>
                <w:szCs w:val="17"/>
              </w:rPr>
              <w:t>Yerko Rosales / Jonathan Ojeda</w:t>
            </w:r>
          </w:p>
        </w:tc>
      </w:tr>
      <w:tr>
        <w:trPr>
          <w:cantSplit/>
        </w:trPr>
        <w:tc>
          <w:tcPr>
            <w:tcW w:w="1123" w:type="dxa"/>
            <w:shd w:val="clear" w:color="auto" w:fill="F2F6F7"/>
            <w:tcMar>
              <w:top w:w="70" w:type="dxa"/>
              <w:left w:w="90" w:type="dxa"/>
              <w:bottom w:w="70" w:type="dxa"/>
              <w:right w:w="90" w:type="dxa"/>
            </w:tcMar>
            <w:vAlign w:val="center"/>
          </w:tcPr>
          <w:p>
            <w:pPr>
              <w:spacing w:before="0" w:after="0" w:line="240" w:lineRule="auto"/>
            </w:pPr>
            <w:r>
              <w:rPr>
                <w:sz w:val="17"/>
                <w:szCs w:val="17"/>
              </w:rPr>
              <w:t>22/10/26</w:t>
            </w:r>
          </w:p>
        </w:tc>
        <w:tc>
          <w:tcPr>
            <w:tcW w:w="842" w:type="dxa"/>
            <w:shd w:val="clear" w:color="auto" w:fill="F2F6F7"/>
            <w:tcMar>
              <w:top w:w="70" w:type="dxa"/>
              <w:left w:w="90" w:type="dxa"/>
              <w:bottom w:w="70" w:type="dxa"/>
              <w:right w:w="90" w:type="dxa"/>
            </w:tcMar>
            <w:vAlign w:val="center"/>
          </w:tcPr>
          <w:p>
            <w:pPr>
              <w:spacing w:before="0" w:after="0" w:line="240" w:lineRule="auto"/>
            </w:pPr>
            <w:r>
              <w:rPr>
                <w:sz w:val="17"/>
                <w:szCs w:val="17"/>
              </w:rPr>
              <w:t>3.1</w:t>
            </w:r>
          </w:p>
        </w:tc>
        <w:tc>
          <w:tcPr>
            <w:tcW w:w="5522" w:type="dxa"/>
            <w:shd w:val="clear" w:color="auto" w:fill="F2F6F7"/>
            <w:tcMar>
              <w:top w:w="70" w:type="dxa"/>
              <w:left w:w="90" w:type="dxa"/>
              <w:bottom w:w="70" w:type="dxa"/>
              <w:right w:w="90" w:type="dxa"/>
            </w:tcMar>
            <w:vAlign w:val="center"/>
          </w:tcPr>
          <w:p>
            <w:pPr>
              <w:spacing w:before="0" w:after="0" w:line="240" w:lineRule="auto"/>
            </w:pPr>
            <w:r>
              <w:rPr>
                <w:sz w:val="17"/>
                <w:szCs w:val="17"/>
              </w:rPr>
              <w:t>Base de datos implementada en Supabase (PostgreSQL 17, us-west-2, EE. UU.; SC-18); vista física actual (DIAG-13) y decisiones de diseño actualizadas; alojamiento de la API por definir (SC-20); 35 diagramas y 41 casos de uso</w:t>
            </w:r>
          </w:p>
        </w:tc>
        <w:tc>
          <w:tcPr>
            <w:tcW w:w="1873" w:type="dxa"/>
            <w:shd w:val="clear" w:color="auto" w:fill="F2F6F7"/>
            <w:tcMar>
              <w:top w:w="70" w:type="dxa"/>
              <w:left w:w="90" w:type="dxa"/>
              <w:bottom w:w="70" w:type="dxa"/>
              <w:right w:w="90" w:type="dxa"/>
            </w:tcMar>
            <w:vAlign w:val="center"/>
          </w:tcPr>
          <w:p>
            <w:pPr>
              <w:spacing w:before="0" w:after="0" w:line="240" w:lineRule="auto"/>
            </w:pPr>
            <w:r>
              <w:rPr>
                <w:sz w:val="17"/>
                <w:szCs w:val="17"/>
              </w:rPr>
              <w:t>Yerko Rosales</w:t>
            </w:r>
          </w:p>
        </w:tc>
      </w:tr>
      <w:tr>
        <w:trPr>
          <w:cantSplit/>
        </w:trPr>
        <w:tc>
          <w:tcPr>
            <w:tcW w:w="1123" w:type="dxa"/>
            <w:shd w:val="clear" w:color="auto" w:fill="F2F6F7"/>
            <w:tcMar>
              <w:top w:w="70" w:type="dxa"/>
              <w:left w:w="90" w:type="dxa"/>
              <w:bottom w:w="70" w:type="dxa"/>
              <w:right w:w="90" w:type="dxa"/>
            </w:tcMar>
            <w:vAlign w:val="center"/>
          </w:tcPr>
          <w:p>
            <w:pPr>
              <w:spacing w:before="0" w:after="0" w:line="240" w:lineRule="auto"/>
            </w:pPr>
            <w:r>
              <w:rPr>
                <w:sz w:val="17"/>
                <w:szCs w:val="17"/>
              </w:rPr>
              <w:t>22/10/26</w:t>
            </w:r>
          </w:p>
        </w:tc>
        <w:tc>
          <w:tcPr>
            <w:tcW w:w="842" w:type="dxa"/>
            <w:shd w:val="clear" w:color="auto" w:fill="F2F6F7"/>
            <w:tcMar>
              <w:top w:w="70" w:type="dxa"/>
              <w:left w:w="90" w:type="dxa"/>
              <w:bottom w:w="70" w:type="dxa"/>
              <w:right w:w="90" w:type="dxa"/>
            </w:tcMar>
            <w:vAlign w:val="center"/>
          </w:tcPr>
          <w:p>
            <w:pPr>
              <w:spacing w:before="0" w:after="0" w:line="240" w:lineRule="auto"/>
            </w:pPr>
            <w:r>
              <w:rPr>
                <w:sz w:val="17"/>
                <w:szCs w:val="17"/>
              </w:rPr>
              <w:t>3.2</w:t>
            </w:r>
          </w:p>
        </w:tc>
        <w:tc>
          <w:tcPr>
            <w:tcW w:w="5522" w:type="dxa"/>
            <w:shd w:val="clear" w:color="auto" w:fill="F2F6F7"/>
            <w:tcMar>
              <w:top w:w="70" w:type="dxa"/>
              <w:left w:w="90" w:type="dxa"/>
              <w:bottom w:w="70" w:type="dxa"/>
              <w:right w:w="90" w:type="dxa"/>
            </w:tcMar>
            <w:vAlign w:val="center"/>
          </w:tcPr>
          <w:p>
            <w:pPr>
              <w:spacing w:before="0" w:after="0" w:line="240" w:lineRule="auto"/>
            </w:pPr>
            <w:r>
              <w:rPr>
                <w:sz w:val="17"/>
                <w:szCs w:val="17"/>
              </w:rPr>
              <w:t>API REST publicada en Supabase con funciones api_* (SC-20, aprobada); modelo de datos v1.2 con la tabla resena (SC-21); DIAG-13 y DIAG-27 actualizados</w:t>
            </w:r>
          </w:p>
        </w:tc>
        <w:tc>
          <w:tcPr>
            <w:tcW w:w="1873" w:type="dxa"/>
            <w:shd w:val="clear" w:color="auto" w:fill="F2F6F7"/>
            <w:tcMar>
              <w:top w:w="70" w:type="dxa"/>
              <w:left w:w="90" w:type="dxa"/>
              <w:bottom w:w="70" w:type="dxa"/>
              <w:right w:w="90" w:type="dxa"/>
            </w:tcMar>
            <w:vAlign w:val="center"/>
          </w:tcPr>
          <w:p>
            <w:pPr>
              <w:spacing w:before="0" w:after="0" w:line="240" w:lineRule="auto"/>
            </w:pPr>
            <w:r>
              <w:rPr>
                <w:sz w:val="17"/>
                <w:szCs w:val="17"/>
              </w:rPr>
              <w:t>Yerko Rosales</w:t>
            </w:r>
          </w:p>
        </w:tc>
      </w:tr>
    </w:tbl>
    <w:p>
      <w:pPr>
        <w:spacing w:before="0" w:after="60"/>
      </w:pPr>
    </w:p>
    <w:p>
      <w:pPr>
        <w:pStyle w:val="Ttulo1"/>
        <w:keepNext/>
        <w:spacing w:before="300" w:after="140"/>
      </w:pPr>
      <w:r>
        <w:rPr>
          <w:b/>
          <w:bCs/>
          <w:color w:val="1F4E5F"/>
          <w:sz w:val="26"/>
          <w:szCs w:val="26"/>
        </w:rPr>
        <w:t>1. Introducción</w:t>
      </w:r>
    </w:p>
    <w:p>
      <w:pPr>
        <w:pStyle w:val="Ttulo2"/>
        <w:keepNext/>
        <w:spacing w:before="220" w:after="100"/>
      </w:pPr>
      <w:r>
        <w:rPr>
          <w:b/>
          <w:bCs/>
          <w:color w:val="2E6B7E"/>
          <w:sz w:val="22"/>
          <w:szCs w:val="22"/>
        </w:rPr>
        <w:t>1.1 Contexto del problema</w:t>
      </w:r>
    </w:p>
    <w:p>
      <w:pPr>
        <w:spacing w:before="0" w:after="120" w:line="276" w:lineRule="auto"/>
      </w:pPr>
      <w:r>
        <w:rPr>
          <w:sz w:val="21"/>
          <w:szCs w:val="21"/>
        </w:rPr>
        <w:t>Barbería Big-Boys atiende por orden de llegada en tres sucursales y registra las atenciones en Excel. En días peak 26 de 156 clientes se van sin atención (16,7%). Esta arquitectura soporta una plataforma que complementa la atención presencial, asegura reservas con abono y reemplaza el Excel.</w:t>
      </w:r>
    </w:p>
    <w:p>
      <w:pPr>
        <w:pStyle w:val="Ttulo2"/>
        <w:keepNext/>
        <w:spacing w:before="220" w:after="100"/>
      </w:pPr>
      <w:r>
        <w:rPr>
          <w:b/>
          <w:bCs/>
          <w:color w:val="2E6B7E"/>
          <w:sz w:val="22"/>
          <w:szCs w:val="22"/>
        </w:rPr>
        <w:t>1.2 Propósito</w:t>
      </w:r>
    </w:p>
    <w:p>
      <w:pPr>
        <w:spacing w:before="0" w:after="120" w:line="276" w:lineRule="auto"/>
      </w:pPr>
      <w:r>
        <w:rPr>
          <w:sz w:val="21"/>
          <w:szCs w:val="21"/>
        </w:rPr>
        <w:t xml:space="preserve">Definir la arquitectura del sistema mediante el modelo de vistas </w:t>
      </w:r>
      <w:r>
        <w:rPr>
          <w:b/>
          <w:bCs/>
          <w:sz w:val="21"/>
          <w:szCs w:val="21"/>
        </w:rPr>
        <w:t>4+1</w:t>
      </w:r>
      <w:r>
        <w:rPr>
          <w:sz w:val="21"/>
          <w:szCs w:val="21"/>
        </w:rPr>
        <w:t xml:space="preserve"> (Kruchten, 1995) (lógica, procesos, desarrollo, física y escenarios), con diagramas en notación UML (Object Management Group [OMG], 2017), como guía técnica para la construcción, las pruebas y la operación.</w:t>
      </w:r>
    </w:p>
    <w:p>
      <w:pPr>
        <w:pStyle w:val="Ttulo2"/>
        <w:keepNext/>
        <w:spacing w:before="220" w:after="100"/>
      </w:pPr>
      <w:r>
        <w:rPr>
          <w:b/>
          <w:bCs/>
          <w:color w:val="2E6B7E"/>
          <w:sz w:val="22"/>
          <w:szCs w:val="22"/>
        </w:rPr>
        <w:t>1.3 Ámbito</w:t>
      </w:r>
    </w:p>
    <w:p>
      <w:pPr>
        <w:spacing w:before="0" w:after="120" w:line="276" w:lineRule="auto"/>
      </w:pPr>
      <w:r>
        <w:rPr>
          <w:sz w:val="21"/>
          <w:szCs w:val="21"/>
        </w:rPr>
        <w:t>Cubre la V1 (entrega 13-11-2026): web, app Android, API REST, base de datos PostgreSQL, integración con pasarela de pago y notificaciones, y el módulo de privacidad «Mis datos». Incluye la arquitectura física actual (base de datos y API en Supabase, EE. UU.; sitio web estático con alojamiento por definir) y la futura escalada en cloud.</w:t>
      </w:r>
    </w:p>
    <w:p>
      <w:pPr>
        <w:pStyle w:val="Ttulo2"/>
        <w:keepNext/>
        <w:spacing w:before="220" w:after="100"/>
      </w:pPr>
      <w:r>
        <w:rPr>
          <w:b/>
          <w:bCs/>
          <w:color w:val="2E6B7E"/>
          <w:sz w:val="22"/>
          <w:szCs w:val="22"/>
        </w:rPr>
        <w:t>1.4 Definiciones, acrónimos y abreviaciones</w:t>
      </w:r>
    </w:p>
    <w:p>
      <w:pPr>
        <w:keepNext/>
        <w:spacing w:before="160" w:after="0"/>
      </w:pPr>
      <w:r>
        <w:rPr>
          <w:b/>
          <w:bCs/>
          <w:sz w:val="20"/>
          <w:szCs w:val="20"/>
        </w:rPr>
        <w:t>Tabla 3</w:t>
      </w:r>
    </w:p>
    <w:p>
      <w:pPr>
        <w:keepNext/>
        <w:spacing w:before="0" w:after="80"/>
      </w:pPr>
      <w:r>
        <w:rPr>
          <w:i/>
          <w:iCs/>
          <w:sz w:val="20"/>
          <w:szCs w:val="20"/>
        </w:rPr>
        <w:t>Definiciones, acrónimos y abreviaciones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72"/>
        <w:gridCol w:w="7488"/>
      </w:tblGrid>
      <w:tr>
        <w:trPr>
          <w:tblHeader/>
        </w:trPr>
        <w:tc>
          <w:tcPr>
            <w:tcW w:w="1872"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Acrónimo</w:t>
            </w:r>
          </w:p>
        </w:tc>
        <w:tc>
          <w:tcPr>
            <w:tcW w:w="7488"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Descripción</w:t>
            </w:r>
          </w:p>
        </w:tc>
      </w:tr>
      <w:tr>
        <w:trPr>
          <w:cantSplit/>
        </w:trPr>
        <w:tc>
          <w:tcPr>
            <w:tcW w:w="1872" w:type="dxa"/>
            <w:tcMar>
              <w:top w:w="70" w:type="dxa"/>
              <w:left w:w="90" w:type="dxa"/>
              <w:bottom w:w="70" w:type="dxa"/>
              <w:right w:w="90" w:type="dxa"/>
            </w:tcMar>
            <w:vAlign w:val="center"/>
          </w:tcPr>
          <w:p>
            <w:pPr>
              <w:spacing w:before="0" w:after="0" w:line="240" w:lineRule="auto"/>
            </w:pPr>
            <w:r>
              <w:rPr>
                <w:sz w:val="17"/>
                <w:szCs w:val="17"/>
              </w:rPr>
              <w:t>4+1</w:t>
            </w:r>
          </w:p>
        </w:tc>
        <w:tc>
          <w:tcPr>
            <w:tcW w:w="7488" w:type="dxa"/>
            <w:tcMar>
              <w:top w:w="70" w:type="dxa"/>
              <w:left w:w="90" w:type="dxa"/>
              <w:bottom w:w="70" w:type="dxa"/>
              <w:right w:w="90" w:type="dxa"/>
            </w:tcMar>
            <w:vAlign w:val="center"/>
          </w:tcPr>
          <w:p>
            <w:pPr>
              <w:spacing w:before="0" w:after="0" w:line="240" w:lineRule="auto"/>
            </w:pPr>
            <w:r>
              <w:rPr>
                <w:sz w:val="17"/>
                <w:szCs w:val="17"/>
              </w:rPr>
              <w:t>Modelo de vistas de arquitectura de Kruchten</w:t>
            </w:r>
          </w:p>
        </w:tc>
      </w:tr>
      <w:tr>
        <w:trPr>
          <w:cantSplit/>
        </w:trPr>
        <w:tc>
          <w:tcPr>
            <w:tcW w:w="1872" w:type="dxa"/>
            <w:shd w:val="clear" w:color="auto" w:fill="F2F6F7"/>
            <w:tcMar>
              <w:top w:w="70" w:type="dxa"/>
              <w:left w:w="90" w:type="dxa"/>
              <w:bottom w:w="70" w:type="dxa"/>
              <w:right w:w="90" w:type="dxa"/>
            </w:tcMar>
            <w:vAlign w:val="center"/>
          </w:tcPr>
          <w:p>
            <w:pPr>
              <w:spacing w:before="0" w:after="0" w:line="240" w:lineRule="auto"/>
            </w:pPr>
            <w:r>
              <w:rPr>
                <w:sz w:val="17"/>
                <w:szCs w:val="17"/>
              </w:rPr>
              <w:t>API REST</w:t>
            </w:r>
          </w:p>
        </w:tc>
        <w:tc>
          <w:tcPr>
            <w:tcW w:w="7488" w:type="dxa"/>
            <w:shd w:val="clear" w:color="auto" w:fill="F2F6F7"/>
            <w:tcMar>
              <w:top w:w="70" w:type="dxa"/>
              <w:left w:w="90" w:type="dxa"/>
              <w:bottom w:w="70" w:type="dxa"/>
              <w:right w:w="90" w:type="dxa"/>
            </w:tcMar>
            <w:vAlign w:val="center"/>
          </w:tcPr>
          <w:p>
            <w:pPr>
              <w:spacing w:before="0" w:after="0" w:line="240" w:lineRule="auto"/>
            </w:pPr>
            <w:r>
              <w:rPr>
                <w:sz w:val="17"/>
                <w:szCs w:val="17"/>
              </w:rPr>
              <w:t>Interfaz de servicios HTTP/JSON</w:t>
            </w:r>
          </w:p>
        </w:tc>
      </w:tr>
      <w:tr>
        <w:trPr>
          <w:cantSplit/>
        </w:trPr>
        <w:tc>
          <w:tcPr>
            <w:tcW w:w="1872" w:type="dxa"/>
            <w:tcMar>
              <w:top w:w="70" w:type="dxa"/>
              <w:left w:w="90" w:type="dxa"/>
              <w:bottom w:w="70" w:type="dxa"/>
              <w:right w:w="90" w:type="dxa"/>
            </w:tcMar>
            <w:vAlign w:val="center"/>
          </w:tcPr>
          <w:p>
            <w:pPr>
              <w:spacing w:before="0" w:after="0" w:line="240" w:lineRule="auto"/>
            </w:pPr>
            <w:r>
              <w:rPr>
                <w:sz w:val="17"/>
                <w:szCs w:val="17"/>
              </w:rPr>
              <w:t>RBAC</w:t>
            </w:r>
          </w:p>
        </w:tc>
        <w:tc>
          <w:tcPr>
            <w:tcW w:w="7488" w:type="dxa"/>
            <w:tcMar>
              <w:top w:w="70" w:type="dxa"/>
              <w:left w:w="90" w:type="dxa"/>
              <w:bottom w:w="70" w:type="dxa"/>
              <w:right w:w="90" w:type="dxa"/>
            </w:tcMar>
            <w:vAlign w:val="center"/>
          </w:tcPr>
          <w:p>
            <w:pPr>
              <w:spacing w:before="0" w:after="0" w:line="240" w:lineRule="auto"/>
            </w:pPr>
            <w:r>
              <w:rPr>
                <w:sz w:val="17"/>
                <w:szCs w:val="17"/>
              </w:rPr>
              <w:t>Control de acceso basado en roles</w:t>
            </w:r>
          </w:p>
        </w:tc>
      </w:tr>
      <w:tr>
        <w:trPr>
          <w:cantSplit/>
        </w:trPr>
        <w:tc>
          <w:tcPr>
            <w:tcW w:w="1872" w:type="dxa"/>
            <w:shd w:val="clear" w:color="auto" w:fill="F2F6F7"/>
            <w:tcMar>
              <w:top w:w="70" w:type="dxa"/>
              <w:left w:w="90" w:type="dxa"/>
              <w:bottom w:w="70" w:type="dxa"/>
              <w:right w:w="90" w:type="dxa"/>
            </w:tcMar>
            <w:vAlign w:val="center"/>
          </w:tcPr>
          <w:p>
            <w:pPr>
              <w:spacing w:before="0" w:after="0" w:line="240" w:lineRule="auto"/>
            </w:pPr>
            <w:r>
              <w:rPr>
                <w:sz w:val="17"/>
                <w:szCs w:val="17"/>
              </w:rPr>
              <w:t>QA</w:t>
            </w:r>
          </w:p>
        </w:tc>
        <w:tc>
          <w:tcPr>
            <w:tcW w:w="7488" w:type="dxa"/>
            <w:shd w:val="clear" w:color="auto" w:fill="F2F6F7"/>
            <w:tcMar>
              <w:top w:w="70" w:type="dxa"/>
              <w:left w:w="90" w:type="dxa"/>
              <w:bottom w:w="70" w:type="dxa"/>
              <w:right w:w="90" w:type="dxa"/>
            </w:tcMar>
            <w:vAlign w:val="center"/>
          </w:tcPr>
          <w:p>
            <w:pPr>
              <w:spacing w:before="0" w:after="0" w:line="240" w:lineRule="auto"/>
            </w:pPr>
            <w:r>
              <w:rPr>
                <w:sz w:val="17"/>
                <w:szCs w:val="17"/>
              </w:rPr>
              <w:t>Escenario de atributo de calidad (Quality Attribute)</w:t>
            </w:r>
          </w:p>
        </w:tc>
      </w:tr>
      <w:tr>
        <w:trPr>
          <w:cantSplit/>
        </w:trPr>
        <w:tc>
          <w:tcPr>
            <w:tcW w:w="1872" w:type="dxa"/>
            <w:tcMar>
              <w:top w:w="70" w:type="dxa"/>
              <w:left w:w="90" w:type="dxa"/>
              <w:bottom w:w="70" w:type="dxa"/>
              <w:right w:w="90" w:type="dxa"/>
            </w:tcMar>
            <w:vAlign w:val="center"/>
          </w:tcPr>
          <w:p>
            <w:pPr>
              <w:spacing w:before="0" w:after="0" w:line="240" w:lineRule="auto"/>
            </w:pPr>
            <w:r>
              <w:rPr>
                <w:sz w:val="17"/>
                <w:szCs w:val="17"/>
              </w:rPr>
              <w:t>RPO / RTO</w:t>
            </w:r>
          </w:p>
        </w:tc>
        <w:tc>
          <w:tcPr>
            <w:tcW w:w="7488" w:type="dxa"/>
            <w:tcMar>
              <w:top w:w="70" w:type="dxa"/>
              <w:left w:w="90" w:type="dxa"/>
              <w:bottom w:w="70" w:type="dxa"/>
              <w:right w:w="90" w:type="dxa"/>
            </w:tcMar>
            <w:vAlign w:val="center"/>
          </w:tcPr>
          <w:p>
            <w:pPr>
              <w:spacing w:before="0" w:after="0" w:line="240" w:lineRule="auto"/>
            </w:pPr>
            <w:r>
              <w:rPr>
                <w:sz w:val="17"/>
                <w:szCs w:val="17"/>
              </w:rPr>
              <w:t>Pérdida de datos / tiempo de recuperación máximos tolerados</w:t>
            </w:r>
          </w:p>
        </w:tc>
      </w:tr>
      <w:tr>
        <w:trPr>
          <w:cantSplit/>
        </w:trPr>
        <w:tc>
          <w:tcPr>
            <w:tcW w:w="1872" w:type="dxa"/>
            <w:shd w:val="clear" w:color="auto" w:fill="F2F6F7"/>
            <w:tcMar>
              <w:top w:w="70" w:type="dxa"/>
              <w:left w:w="90" w:type="dxa"/>
              <w:bottom w:w="70" w:type="dxa"/>
              <w:right w:w="90" w:type="dxa"/>
            </w:tcMar>
            <w:vAlign w:val="center"/>
          </w:tcPr>
          <w:p>
            <w:pPr>
              <w:spacing w:before="0" w:after="0" w:line="240" w:lineRule="auto"/>
            </w:pPr>
            <w:r>
              <w:rPr>
                <w:sz w:val="17"/>
                <w:szCs w:val="17"/>
              </w:rPr>
              <w:t>MVVM</w:t>
            </w:r>
          </w:p>
        </w:tc>
        <w:tc>
          <w:tcPr>
            <w:tcW w:w="7488" w:type="dxa"/>
            <w:shd w:val="clear" w:color="auto" w:fill="F2F6F7"/>
            <w:tcMar>
              <w:top w:w="70" w:type="dxa"/>
              <w:left w:w="90" w:type="dxa"/>
              <w:bottom w:w="70" w:type="dxa"/>
              <w:right w:w="90" w:type="dxa"/>
            </w:tcMar>
            <w:vAlign w:val="center"/>
          </w:tcPr>
          <w:p>
            <w:pPr>
              <w:spacing w:before="0" w:after="0" w:line="240" w:lineRule="auto"/>
            </w:pPr>
            <w:r>
              <w:rPr>
                <w:sz w:val="17"/>
                <w:szCs w:val="17"/>
              </w:rPr>
              <w:t>Model-View-ViewModel</w:t>
            </w:r>
          </w:p>
        </w:tc>
      </w:tr>
    </w:tbl>
    <w:p>
      <w:pPr>
        <w:spacing w:before="0" w:after="60"/>
      </w:pPr>
    </w:p>
    <w:p>
      <w:pPr>
        <w:pStyle w:val="Ttulo2"/>
        <w:keepNext/>
        <w:spacing w:before="220" w:after="100"/>
      </w:pPr>
      <w:r>
        <w:rPr>
          <w:b/>
          <w:bCs/>
          <w:color w:val="2E6B7E"/>
          <w:sz w:val="22"/>
          <w:szCs w:val="22"/>
        </w:rPr>
        <w:t>1.5 Referencias</w:t>
      </w:r>
    </w:p>
    <w:p>
      <w:pPr>
        <w:spacing w:before="0" w:after="120" w:line="276" w:lineRule="auto"/>
      </w:pPr>
      <w:r>
        <w:rPr>
          <w:sz w:val="21"/>
          <w:szCs w:val="21"/>
        </w:rPr>
        <w:t>Las referencias de este documento se listan en formato APA en la última hoja (sección «Referencias»). Documentos del proyecto relacionados: ERS revisión 04.1, Diseño de Base de Datos (documento 16: modelo ER, relacional, diccionario y DDL), Especificación de Casos de Uso (documento 17) y Anexo A — Cumplimiento normativo y gobierno de datos.</w:t>
      </w:r>
    </w:p>
    <w:p>
      <w:pPr>
        <w:pStyle w:val="Ttulo2"/>
        <w:keepNext/>
        <w:spacing w:before="220" w:after="100"/>
      </w:pPr>
      <w:r>
        <w:rPr>
          <w:b/>
          <w:bCs/>
          <w:color w:val="2E6B7E"/>
          <w:sz w:val="22"/>
          <w:szCs w:val="22"/>
        </w:rPr>
        <w:t>1.6 Resumen ejecutivo</w:t>
      </w:r>
    </w:p>
    <w:p>
      <w:pPr>
        <w:spacing w:before="0" w:after="120" w:line="276" w:lineRule="auto"/>
      </w:pPr>
      <w:r>
        <w:rPr>
          <w:sz w:val="21"/>
          <w:szCs w:val="21"/>
        </w:rPr>
        <w:t>Arquitectura cliente–servidor en capas: la web (React) y la app Android (Kotlin, MVVM) consumen una única API REST que aplica las reglas de negocio y persiste en PostgreSQL. La base de datos garantiza la integridad (por ejemplo, impide reservas traslapadas) y la privacidad (consentimientos, solicitudes de derechos, auditoría inmutable). Los pagos se delegan a la pasarela y no se almacenan datos de tarjetas.</w:t>
      </w:r>
      <w:r>
        <w:t xml:space="preserve"> En la implementación actual (SC-20), la API REST la publica Supabase (PostgREST) mediante funciones api_* que validan las credenciales y las reglas dentro de la base de datos; las tablas no son accesibles directamente con la clave pública (RLS cerrado) y los datos de contacto de otros clientes se entregan enmascarados.</w:t>
      </w:r>
    </w:p>
    <w:p>
      <w:pPr>
        <w:pStyle w:val="Ttulo1"/>
        <w:keepNext/>
        <w:spacing w:before="300" w:after="140"/>
      </w:pPr>
      <w:r>
        <w:rPr>
          <w:b/>
          <w:bCs/>
          <w:color w:val="1F4E5F"/>
          <w:sz w:val="26"/>
          <w:szCs w:val="26"/>
        </w:rPr>
        <w:t>2. Representación de la arquitectura</w:t>
      </w:r>
    </w:p>
    <w:p>
      <w:pPr>
        <w:keepNext/>
        <w:spacing w:before="160" w:after="0"/>
      </w:pPr>
      <w:r>
        <w:rPr>
          <w:b/>
          <w:bCs/>
          <w:sz w:val="20"/>
          <w:szCs w:val="20"/>
        </w:rPr>
        <w:t>Tabla 4</w:t>
      </w:r>
    </w:p>
    <w:p>
      <w:pPr>
        <w:keepNext/>
        <w:spacing w:before="0" w:after="80"/>
      </w:pPr>
      <w:r>
        <w:rPr>
          <w:i/>
          <w:iCs/>
          <w:sz w:val="20"/>
          <w:szCs w:val="20"/>
        </w:rPr>
        <w:t>Representación de la arquitectura</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497"/>
        <w:gridCol w:w="5054"/>
        <w:gridCol w:w="2809"/>
      </w:tblGrid>
      <w:tr>
        <w:trPr>
          <w:tblHeader/>
        </w:trPr>
        <w:tc>
          <w:tcPr>
            <w:tcW w:w="1497"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Vista 4+1</w:t>
            </w:r>
          </w:p>
        </w:tc>
        <w:tc>
          <w:tcPr>
            <w:tcW w:w="5054"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Pregunta que responde</w:t>
            </w:r>
          </w:p>
        </w:tc>
        <w:tc>
          <w:tcPr>
            <w:tcW w:w="280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Diagramas</w:t>
            </w:r>
          </w:p>
        </w:tc>
      </w:tr>
      <w:tr>
        <w:trPr>
          <w:cantSplit/>
        </w:trPr>
        <w:tc>
          <w:tcPr>
            <w:tcW w:w="1497" w:type="dxa"/>
            <w:tcMar>
              <w:top w:w="70" w:type="dxa"/>
              <w:left w:w="90" w:type="dxa"/>
              <w:bottom w:w="70" w:type="dxa"/>
              <w:right w:w="90" w:type="dxa"/>
            </w:tcMar>
            <w:vAlign w:val="center"/>
          </w:tcPr>
          <w:p>
            <w:pPr>
              <w:spacing w:before="0" w:after="0" w:line="240" w:lineRule="auto"/>
            </w:pPr>
            <w:r>
              <w:rPr>
                <w:sz w:val="17"/>
                <w:szCs w:val="17"/>
              </w:rPr>
              <w:t>Lógica</w:t>
            </w:r>
          </w:p>
        </w:tc>
        <w:tc>
          <w:tcPr>
            <w:tcW w:w="5054" w:type="dxa"/>
            <w:tcMar>
              <w:top w:w="70" w:type="dxa"/>
              <w:left w:w="90" w:type="dxa"/>
              <w:bottom w:w="70" w:type="dxa"/>
              <w:right w:w="90" w:type="dxa"/>
            </w:tcMar>
            <w:vAlign w:val="center"/>
          </w:tcPr>
          <w:p>
            <w:pPr>
              <w:spacing w:before="0" w:after="0" w:line="240" w:lineRule="auto"/>
            </w:pPr>
            <w:r>
              <w:rPr>
                <w:sz w:val="17"/>
                <w:szCs w:val="17"/>
              </w:rPr>
              <w:t>¿Qué funcionalidad y qué estructura de clases ofrece el sistema?</w:t>
            </w:r>
          </w:p>
        </w:tc>
        <w:tc>
          <w:tcPr>
            <w:tcW w:w="2809" w:type="dxa"/>
            <w:tcMar>
              <w:top w:w="70" w:type="dxa"/>
              <w:left w:w="90" w:type="dxa"/>
              <w:bottom w:w="70" w:type="dxa"/>
              <w:right w:w="90" w:type="dxa"/>
            </w:tcMar>
            <w:vAlign w:val="center"/>
          </w:tcPr>
          <w:p>
            <w:pPr>
              <w:spacing w:before="0" w:after="0" w:line="240" w:lineRule="auto"/>
            </w:pPr>
            <w:r>
              <w:rPr>
                <w:sz w:val="17"/>
                <w:szCs w:val="17"/>
              </w:rPr>
              <w:t>DIAG-01, DIAG-02</w:t>
            </w:r>
          </w:p>
        </w:tc>
      </w:tr>
      <w:tr>
        <w:trPr>
          <w:cantSplit/>
        </w:trPr>
        <w:tc>
          <w:tcPr>
            <w:tcW w:w="1497" w:type="dxa"/>
            <w:shd w:val="clear" w:color="auto" w:fill="F2F6F7"/>
            <w:tcMar>
              <w:top w:w="70" w:type="dxa"/>
              <w:left w:w="90" w:type="dxa"/>
              <w:bottom w:w="70" w:type="dxa"/>
              <w:right w:w="90" w:type="dxa"/>
            </w:tcMar>
            <w:vAlign w:val="center"/>
          </w:tcPr>
          <w:p>
            <w:pPr>
              <w:spacing w:before="0" w:after="0" w:line="240" w:lineRule="auto"/>
            </w:pPr>
            <w:r>
              <w:rPr>
                <w:sz w:val="17"/>
                <w:szCs w:val="17"/>
              </w:rPr>
              <w:t>Procesos</w:t>
            </w:r>
          </w:p>
        </w:tc>
        <w:tc>
          <w:tcPr>
            <w:tcW w:w="5054" w:type="dxa"/>
            <w:shd w:val="clear" w:color="auto" w:fill="F2F6F7"/>
            <w:tcMar>
              <w:top w:w="70" w:type="dxa"/>
              <w:left w:w="90" w:type="dxa"/>
              <w:bottom w:w="70" w:type="dxa"/>
              <w:right w:w="90" w:type="dxa"/>
            </w:tcMar>
            <w:vAlign w:val="center"/>
          </w:tcPr>
          <w:p>
            <w:pPr>
              <w:spacing w:before="0" w:after="0" w:line="240" w:lineRule="auto"/>
            </w:pPr>
            <w:r>
              <w:rPr>
                <w:sz w:val="17"/>
                <w:szCs w:val="17"/>
              </w:rPr>
              <w:t>¿Cómo colaboran los componentes en tiempo de ejecución en los flujos críticos?</w:t>
            </w:r>
          </w:p>
        </w:tc>
        <w:tc>
          <w:tcPr>
            <w:tcW w:w="2809" w:type="dxa"/>
            <w:shd w:val="clear" w:color="auto" w:fill="F2F6F7"/>
            <w:tcMar>
              <w:top w:w="70" w:type="dxa"/>
              <w:left w:w="90" w:type="dxa"/>
              <w:bottom w:w="70" w:type="dxa"/>
              <w:right w:w="90" w:type="dxa"/>
            </w:tcMar>
            <w:vAlign w:val="center"/>
          </w:tcPr>
          <w:p>
            <w:pPr>
              <w:spacing w:before="0" w:after="0" w:line="240" w:lineRule="auto"/>
            </w:pPr>
            <w:r>
              <w:rPr>
                <w:sz w:val="17"/>
                <w:szCs w:val="17"/>
              </w:rPr>
              <w:t>DIAG-03 a DIAG-11, DIAG-23 a DIAG-26</w:t>
            </w:r>
          </w:p>
        </w:tc>
      </w:tr>
      <w:tr>
        <w:trPr>
          <w:cantSplit/>
        </w:trPr>
        <w:tc>
          <w:tcPr>
            <w:tcW w:w="1497" w:type="dxa"/>
            <w:tcMar>
              <w:top w:w="70" w:type="dxa"/>
              <w:left w:w="90" w:type="dxa"/>
              <w:bottom w:w="70" w:type="dxa"/>
              <w:right w:w="90" w:type="dxa"/>
            </w:tcMar>
            <w:vAlign w:val="center"/>
          </w:tcPr>
          <w:p>
            <w:pPr>
              <w:spacing w:before="0" w:after="0" w:line="240" w:lineRule="auto"/>
            </w:pPr>
            <w:r>
              <w:rPr>
                <w:sz w:val="17"/>
                <w:szCs w:val="17"/>
              </w:rPr>
              <w:t>Desarrollo</w:t>
            </w:r>
          </w:p>
        </w:tc>
        <w:tc>
          <w:tcPr>
            <w:tcW w:w="5054" w:type="dxa"/>
            <w:tcMar>
              <w:top w:w="70" w:type="dxa"/>
              <w:left w:w="90" w:type="dxa"/>
              <w:bottom w:w="70" w:type="dxa"/>
              <w:right w:w="90" w:type="dxa"/>
            </w:tcMar>
            <w:vAlign w:val="center"/>
          </w:tcPr>
          <w:p>
            <w:pPr>
              <w:spacing w:before="0" w:after="0" w:line="240" w:lineRule="auto"/>
            </w:pPr>
            <w:r>
              <w:rPr>
                <w:sz w:val="17"/>
                <w:szCs w:val="17"/>
              </w:rPr>
              <w:t>¿Cómo se organiza el software en componentes y módulos?</w:t>
            </w:r>
          </w:p>
        </w:tc>
        <w:tc>
          <w:tcPr>
            <w:tcW w:w="2809" w:type="dxa"/>
            <w:tcMar>
              <w:top w:w="70" w:type="dxa"/>
              <w:left w:w="90" w:type="dxa"/>
              <w:bottom w:w="70" w:type="dxa"/>
              <w:right w:w="90" w:type="dxa"/>
            </w:tcMar>
            <w:vAlign w:val="center"/>
          </w:tcPr>
          <w:p>
            <w:pPr>
              <w:spacing w:before="0" w:after="0" w:line="240" w:lineRule="auto"/>
            </w:pPr>
            <w:r>
              <w:rPr>
                <w:sz w:val="17"/>
                <w:szCs w:val="17"/>
              </w:rPr>
              <w:t>DIAG-12</w:t>
            </w:r>
          </w:p>
        </w:tc>
      </w:tr>
      <w:tr>
        <w:trPr>
          <w:cantSplit/>
        </w:trPr>
        <w:tc>
          <w:tcPr>
            <w:tcW w:w="1497" w:type="dxa"/>
            <w:shd w:val="clear" w:color="auto" w:fill="F2F6F7"/>
            <w:tcMar>
              <w:top w:w="70" w:type="dxa"/>
              <w:left w:w="90" w:type="dxa"/>
              <w:bottom w:w="70" w:type="dxa"/>
              <w:right w:w="90" w:type="dxa"/>
            </w:tcMar>
            <w:vAlign w:val="center"/>
          </w:tcPr>
          <w:p>
            <w:pPr>
              <w:spacing w:before="0" w:after="0" w:line="240" w:lineRule="auto"/>
            </w:pPr>
            <w:r>
              <w:rPr>
                <w:sz w:val="17"/>
                <w:szCs w:val="17"/>
              </w:rPr>
              <w:t>Física</w:t>
            </w:r>
          </w:p>
        </w:tc>
        <w:tc>
          <w:tcPr>
            <w:tcW w:w="5054" w:type="dxa"/>
            <w:shd w:val="clear" w:color="auto" w:fill="F2F6F7"/>
            <w:tcMar>
              <w:top w:w="70" w:type="dxa"/>
              <w:left w:w="90" w:type="dxa"/>
              <w:bottom w:w="70" w:type="dxa"/>
              <w:right w:w="90" w:type="dxa"/>
            </w:tcMar>
            <w:vAlign w:val="center"/>
          </w:tcPr>
          <w:p>
            <w:pPr>
              <w:spacing w:before="0" w:after="0" w:line="240" w:lineRule="auto"/>
            </w:pPr>
            <w:r>
              <w:rPr>
                <w:sz w:val="17"/>
                <w:szCs w:val="17"/>
              </w:rPr>
              <w:t>¿Dónde se ejecuta y cómo se despliega?</w:t>
            </w:r>
          </w:p>
        </w:tc>
        <w:tc>
          <w:tcPr>
            <w:tcW w:w="2809" w:type="dxa"/>
            <w:shd w:val="clear" w:color="auto" w:fill="F2F6F7"/>
            <w:tcMar>
              <w:top w:w="70" w:type="dxa"/>
              <w:left w:w="90" w:type="dxa"/>
              <w:bottom w:w="70" w:type="dxa"/>
              <w:right w:w="90" w:type="dxa"/>
            </w:tcMar>
            <w:vAlign w:val="center"/>
          </w:tcPr>
          <w:p>
            <w:pPr>
              <w:spacing w:before="0" w:after="0" w:line="240" w:lineRule="auto"/>
            </w:pPr>
            <w:r>
              <w:rPr>
                <w:sz w:val="17"/>
                <w:szCs w:val="17"/>
              </w:rPr>
              <w:t>DIAG-13, DIAG-14</w:t>
            </w:r>
          </w:p>
        </w:tc>
      </w:tr>
      <w:tr>
        <w:trPr>
          <w:cantSplit/>
        </w:trPr>
        <w:tc>
          <w:tcPr>
            <w:tcW w:w="1497" w:type="dxa"/>
            <w:tcMar>
              <w:top w:w="70" w:type="dxa"/>
              <w:left w:w="90" w:type="dxa"/>
              <w:bottom w:w="70" w:type="dxa"/>
              <w:right w:w="90" w:type="dxa"/>
            </w:tcMar>
            <w:vAlign w:val="center"/>
          </w:tcPr>
          <w:p>
            <w:pPr>
              <w:spacing w:before="0" w:after="0" w:line="240" w:lineRule="auto"/>
            </w:pPr>
            <w:r>
              <w:rPr>
                <w:sz w:val="17"/>
                <w:szCs w:val="17"/>
              </w:rPr>
              <w:t>Escenarios (+1)</w:t>
            </w:r>
          </w:p>
        </w:tc>
        <w:tc>
          <w:tcPr>
            <w:tcW w:w="5054" w:type="dxa"/>
            <w:tcMar>
              <w:top w:w="70" w:type="dxa"/>
              <w:left w:w="90" w:type="dxa"/>
              <w:bottom w:w="70" w:type="dxa"/>
              <w:right w:w="90" w:type="dxa"/>
            </w:tcMar>
            <w:vAlign w:val="center"/>
          </w:tcPr>
          <w:p>
            <w:pPr>
              <w:spacing w:before="0" w:after="0" w:line="240" w:lineRule="auto"/>
            </w:pPr>
            <w:r>
              <w:rPr>
                <w:sz w:val="17"/>
                <w:szCs w:val="17"/>
              </w:rPr>
              <w:t>¿Qué casos de uso validan la arquitectura?</w:t>
            </w:r>
          </w:p>
        </w:tc>
        <w:tc>
          <w:tcPr>
            <w:tcW w:w="2809" w:type="dxa"/>
            <w:tcMar>
              <w:top w:w="70" w:type="dxa"/>
              <w:left w:w="90" w:type="dxa"/>
              <w:bottom w:w="70" w:type="dxa"/>
              <w:right w:w="90" w:type="dxa"/>
            </w:tcMar>
            <w:vAlign w:val="center"/>
          </w:tcPr>
          <w:p>
            <w:pPr>
              <w:spacing w:before="0" w:after="0" w:line="240" w:lineRule="auto"/>
            </w:pPr>
            <w:r>
              <w:rPr>
                <w:sz w:val="17"/>
                <w:szCs w:val="17"/>
              </w:rPr>
              <w:t>DIAG-15 a DIAG-22</w:t>
            </w:r>
          </w:p>
        </w:tc>
      </w:tr>
    </w:tbl>
    <w:p>
      <w:pPr>
        <w:spacing w:before="0" w:after="60"/>
      </w:pPr>
    </w:p>
    <w:p>
      <w:pPr>
        <w:pStyle w:val="Ttulo1"/>
        <w:keepNext/>
        <w:spacing w:before="300" w:after="140"/>
      </w:pPr>
      <w:r>
        <w:rPr>
          <w:b/>
          <w:bCs/>
          <w:color w:val="1F4E5F"/>
          <w:sz w:val="26"/>
          <w:szCs w:val="26"/>
        </w:rPr>
        <w:t>3. Metas y restricciones de la arquitectura</w:t>
      </w:r>
    </w:p>
    <w:p>
      <w:pPr>
        <w:numPr>
          <w:ilvl w:val="0"/>
          <w:numId w:val="1"/>
        </w:numPr>
        <w:spacing w:before="0" w:after="60" w:line="264" w:lineRule="auto"/>
        <w:ind w:left="540" w:hanging="270"/>
      </w:pPr>
      <w:r>
        <w:rPr>
          <w:b/>
          <w:bCs/>
          <w:sz w:val="21"/>
          <w:szCs w:val="21"/>
        </w:rPr>
        <w:t>Integridad</w:t>
      </w:r>
      <w:r>
        <w:rPr>
          <w:sz w:val="21"/>
          <w:szCs w:val="21"/>
        </w:rPr>
        <w:t>: una reserva confirmada exige abono autorizado; la BD impide traslapes por barbero.</w:t>
      </w:r>
    </w:p>
    <w:p>
      <w:pPr>
        <w:numPr>
          <w:ilvl w:val="0"/>
          <w:numId w:val="1"/>
        </w:numPr>
        <w:spacing w:before="0" w:after="60" w:line="264" w:lineRule="auto"/>
        <w:ind w:left="540" w:hanging="270"/>
      </w:pPr>
      <w:r>
        <w:rPr>
          <w:b/>
          <w:bCs/>
          <w:sz w:val="21"/>
          <w:szCs w:val="21"/>
        </w:rPr>
        <w:t>Rendimiento</w:t>
      </w:r>
      <w:r>
        <w:rPr>
          <w:sz w:val="21"/>
          <w:szCs w:val="21"/>
        </w:rPr>
        <w:t>: disponibilidad &lt; 200 ms; confirmación &lt; 3 s.</w:t>
      </w:r>
    </w:p>
    <w:p>
      <w:pPr>
        <w:numPr>
          <w:ilvl w:val="0"/>
          <w:numId w:val="1"/>
        </w:numPr>
        <w:spacing w:before="0" w:after="60" w:line="264" w:lineRule="auto"/>
        <w:ind w:left="540" w:hanging="270"/>
      </w:pPr>
      <w:r>
        <w:rPr>
          <w:b/>
          <w:bCs/>
          <w:sz w:val="21"/>
          <w:szCs w:val="21"/>
        </w:rPr>
        <w:t>Seguridad y privacidad</w:t>
      </w:r>
      <w:r>
        <w:rPr>
          <w:sz w:val="21"/>
          <w:szCs w:val="21"/>
        </w:rPr>
        <w:t>: TLS, cifrado en reposo, RBAC, auditoría inmutable, minimización, sin datos de tarjeta.</w:t>
      </w:r>
    </w:p>
    <w:p>
      <w:pPr>
        <w:numPr>
          <w:ilvl w:val="0"/>
          <w:numId w:val="1"/>
        </w:numPr>
        <w:spacing w:before="0" w:after="60" w:line="264" w:lineRule="auto"/>
        <w:ind w:left="540" w:hanging="270"/>
      </w:pPr>
      <w:r>
        <w:rPr>
          <w:b/>
          <w:bCs/>
          <w:sz w:val="21"/>
          <w:szCs w:val="21"/>
        </w:rPr>
        <w:t>Disponibilidad</w:t>
      </w:r>
      <w:r>
        <w:rPr>
          <w:sz w:val="21"/>
          <w:szCs w:val="21"/>
        </w:rPr>
        <w:t>: ≥ 99,5% en horario de atención; RPO 24 h y RTO 4 h.</w:t>
      </w:r>
    </w:p>
    <w:p>
      <w:pPr>
        <w:numPr>
          <w:ilvl w:val="0"/>
          <w:numId w:val="1"/>
        </w:numPr>
        <w:spacing w:before="0" w:after="60" w:line="264" w:lineRule="auto"/>
        <w:ind w:left="540" w:hanging="270"/>
      </w:pPr>
      <w:r>
        <w:rPr>
          <w:b/>
          <w:bCs/>
          <w:sz w:val="21"/>
          <w:szCs w:val="21"/>
        </w:rPr>
        <w:t>Multisucursal</w:t>
      </w:r>
      <w:r>
        <w:rPr>
          <w:sz w:val="21"/>
          <w:szCs w:val="21"/>
        </w:rPr>
        <w:t>: tres sucursales en una sola base, filtradas por id_sucursal y por alcance de rol.</w:t>
      </w:r>
    </w:p>
    <w:p>
      <w:pPr>
        <w:numPr>
          <w:ilvl w:val="0"/>
          <w:numId w:val="1"/>
        </w:numPr>
        <w:spacing w:before="0" w:after="60" w:line="264" w:lineRule="auto"/>
        <w:ind w:left="540" w:hanging="270"/>
      </w:pPr>
      <w:r>
        <w:rPr>
          <w:b/>
          <w:bCs/>
          <w:sz w:val="21"/>
          <w:szCs w:val="21"/>
        </w:rPr>
        <w:t>Parametrización</w:t>
      </w:r>
      <w:r>
        <w:rPr>
          <w:sz w:val="21"/>
          <w:szCs w:val="21"/>
        </w:rPr>
        <w:t>: abono y reglas en la tabla configuracion.</w:t>
      </w:r>
    </w:p>
    <w:p>
      <w:pPr>
        <w:numPr>
          <w:ilvl w:val="0"/>
          <w:numId w:val="1"/>
        </w:numPr>
        <w:spacing w:before="0" w:after="60" w:line="264" w:lineRule="auto"/>
        <w:ind w:left="540" w:hanging="270"/>
      </w:pPr>
      <w:r>
        <w:rPr>
          <w:b/>
          <w:bCs/>
          <w:sz w:val="21"/>
          <w:szCs w:val="21"/>
        </w:rPr>
        <w:t>Escalabilidad</w:t>
      </w:r>
      <w:r>
        <w:rPr>
          <w:sz w:val="21"/>
          <w:szCs w:val="21"/>
        </w:rPr>
        <w:t>: arquitectura sin estado en la API que permite escalar horizontalmente en cloud.</w:t>
      </w:r>
    </w:p>
    <w:p>
      <w:pPr>
        <w:numPr>
          <w:ilvl w:val="0"/>
          <w:numId w:val="1"/>
        </w:numPr>
        <w:spacing w:before="0" w:after="60" w:line="264" w:lineRule="auto"/>
        <w:ind w:left="540" w:hanging="270"/>
      </w:pPr>
      <w:r>
        <w:rPr>
          <w:b/>
          <w:bCs/>
          <w:sz w:val="21"/>
          <w:szCs w:val="21"/>
        </w:rPr>
        <w:t>Mantenibilidad</w:t>
      </w:r>
      <w:r>
        <w:rPr>
          <w:sz w:val="21"/>
          <w:szCs w:val="21"/>
        </w:rPr>
        <w:t>: capas separadas y una fuente única de datos.</w:t>
      </w:r>
    </w:p>
    <w:p>
      <w:pPr>
        <w:spacing w:before="0" w:after="120" w:line="276" w:lineRule="auto"/>
      </w:pPr>
      <w:r>
        <w:rPr>
          <w:b/>
          <w:bCs/>
          <w:sz w:val="21"/>
          <w:szCs w:val="21"/>
        </w:rPr>
        <w:t>Restricciones</w:t>
      </w:r>
      <w:r>
        <w:rPr>
          <w:sz w:val="21"/>
          <w:szCs w:val="21"/>
        </w:rPr>
        <w:t>: plazo del 14-08 al 13-11-2026 (S1–S14); dos integrantes; base de datos relacional obligatoria; presupuesto operativo bajo; cumplimiento de la Ley N° 19.628 y anticipado de la Ley N° 21.719.</w:t>
      </w:r>
    </w:p>
    <w:p>
      <w:pPr>
        <w:pStyle w:val="Ttulo2"/>
        <w:keepNext/>
        <w:spacing w:before="220" w:after="100"/>
      </w:pPr>
      <w:r>
        <w:rPr>
          <w:b/>
          <w:bCs/>
          <w:color w:val="2E6B7E"/>
          <w:sz w:val="22"/>
          <w:szCs w:val="22"/>
        </w:rPr>
        <w:t>3.1 Escenarios de calidad</w:t>
      </w:r>
    </w:p>
    <w:p>
      <w:pPr>
        <w:keepNext/>
        <w:spacing w:before="160" w:after="0"/>
      </w:pPr>
      <w:r>
        <w:rPr>
          <w:b/>
          <w:bCs/>
          <w:sz w:val="20"/>
          <w:szCs w:val="20"/>
        </w:rPr>
        <w:t>Tabla 5</w:t>
      </w:r>
    </w:p>
    <w:p>
      <w:pPr>
        <w:keepNext/>
        <w:spacing w:before="0" w:after="80"/>
      </w:pPr>
      <w:r>
        <w:rPr>
          <w:i/>
          <w:iCs/>
          <w:sz w:val="20"/>
          <w:szCs w:val="20"/>
        </w:rPr>
        <w:t>Escenarios de calidad</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655"/>
        <w:gridCol w:w="1404"/>
        <w:gridCol w:w="3556"/>
        <w:gridCol w:w="3745"/>
      </w:tblGrid>
      <w:tr>
        <w:trPr>
          <w:tblHeader/>
        </w:trPr>
        <w:tc>
          <w:tcPr>
            <w:tcW w:w="655"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QA</w:t>
            </w:r>
          </w:p>
        </w:tc>
        <w:tc>
          <w:tcPr>
            <w:tcW w:w="1404"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Atributo</w:t>
            </w:r>
          </w:p>
        </w:tc>
        <w:tc>
          <w:tcPr>
            <w:tcW w:w="3556"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Estímulo</w:t>
            </w:r>
          </w:p>
        </w:tc>
        <w:tc>
          <w:tcPr>
            <w:tcW w:w="3745"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Respuesta / medida</w:t>
            </w:r>
          </w:p>
        </w:tc>
      </w:tr>
      <w:tr>
        <w:trPr>
          <w:cantSplit/>
        </w:trPr>
        <w:tc>
          <w:tcPr>
            <w:tcW w:w="655" w:type="dxa"/>
            <w:tcMar>
              <w:top w:w="70" w:type="dxa"/>
              <w:left w:w="90" w:type="dxa"/>
              <w:bottom w:w="70" w:type="dxa"/>
              <w:right w:w="90" w:type="dxa"/>
            </w:tcMar>
            <w:vAlign w:val="center"/>
          </w:tcPr>
          <w:p>
            <w:pPr>
              <w:spacing w:before="0" w:after="0" w:line="240" w:lineRule="auto"/>
            </w:pPr>
            <w:r>
              <w:rPr>
                <w:sz w:val="16"/>
                <w:szCs w:val="16"/>
              </w:rPr>
              <w:t>QA1</w:t>
            </w:r>
          </w:p>
        </w:tc>
        <w:tc>
          <w:tcPr>
            <w:tcW w:w="1404" w:type="dxa"/>
            <w:tcMar>
              <w:top w:w="70" w:type="dxa"/>
              <w:left w:w="90" w:type="dxa"/>
              <w:bottom w:w="70" w:type="dxa"/>
              <w:right w:w="90" w:type="dxa"/>
            </w:tcMar>
            <w:vAlign w:val="center"/>
          </w:tcPr>
          <w:p>
            <w:pPr>
              <w:spacing w:before="0" w:after="0" w:line="240" w:lineRule="auto"/>
            </w:pPr>
            <w:r>
              <w:rPr>
                <w:sz w:val="16"/>
                <w:szCs w:val="16"/>
              </w:rPr>
              <w:t>Integridad</w:t>
            </w:r>
          </w:p>
        </w:tc>
        <w:tc>
          <w:tcPr>
            <w:tcW w:w="3556" w:type="dxa"/>
            <w:tcMar>
              <w:top w:w="70" w:type="dxa"/>
              <w:left w:w="90" w:type="dxa"/>
              <w:bottom w:w="70" w:type="dxa"/>
              <w:right w:w="90" w:type="dxa"/>
            </w:tcMar>
            <w:vAlign w:val="center"/>
          </w:tcPr>
          <w:p>
            <w:pPr>
              <w:spacing w:before="0" w:after="0" w:line="240" w:lineRule="auto"/>
            </w:pPr>
            <w:r>
              <w:rPr>
                <w:sz w:val="16"/>
                <w:szCs w:val="16"/>
              </w:rPr>
              <w:t>Dos clientes reservan el mismo barbero y hora desde web y app</w:t>
            </w:r>
          </w:p>
        </w:tc>
        <w:tc>
          <w:tcPr>
            <w:tcW w:w="3745" w:type="dxa"/>
            <w:tcMar>
              <w:top w:w="70" w:type="dxa"/>
              <w:left w:w="90" w:type="dxa"/>
              <w:bottom w:w="70" w:type="dxa"/>
              <w:right w:w="90" w:type="dxa"/>
            </w:tcMar>
            <w:vAlign w:val="center"/>
          </w:tcPr>
          <w:p>
            <w:pPr>
              <w:spacing w:before="0" w:after="0" w:line="240" w:lineRule="auto"/>
            </w:pPr>
            <w:r>
              <w:rPr>
                <w:sz w:val="16"/>
                <w:szCs w:val="16"/>
              </w:rPr>
              <w:t>La BD acepta solo una (restricción de exclusión); la otra recibe aviso y elige otro horario</w:t>
            </w:r>
          </w:p>
        </w:tc>
      </w:tr>
      <w:tr>
        <w:trPr>
          <w:cantSplit/>
        </w:trPr>
        <w:tc>
          <w:tcPr>
            <w:tcW w:w="655" w:type="dxa"/>
            <w:shd w:val="clear" w:color="auto" w:fill="F2F6F7"/>
            <w:tcMar>
              <w:top w:w="70" w:type="dxa"/>
              <w:left w:w="90" w:type="dxa"/>
              <w:bottom w:w="70" w:type="dxa"/>
              <w:right w:w="90" w:type="dxa"/>
            </w:tcMar>
            <w:vAlign w:val="center"/>
          </w:tcPr>
          <w:p>
            <w:pPr>
              <w:spacing w:before="0" w:after="0" w:line="240" w:lineRule="auto"/>
            </w:pPr>
            <w:r>
              <w:rPr>
                <w:sz w:val="16"/>
                <w:szCs w:val="16"/>
              </w:rPr>
              <w:t>QA2</w:t>
            </w:r>
          </w:p>
        </w:tc>
        <w:tc>
          <w:tcPr>
            <w:tcW w:w="1404" w:type="dxa"/>
            <w:shd w:val="clear" w:color="auto" w:fill="F2F6F7"/>
            <w:tcMar>
              <w:top w:w="70" w:type="dxa"/>
              <w:left w:w="90" w:type="dxa"/>
              <w:bottom w:w="70" w:type="dxa"/>
              <w:right w:w="90" w:type="dxa"/>
            </w:tcMar>
            <w:vAlign w:val="center"/>
          </w:tcPr>
          <w:p>
            <w:pPr>
              <w:spacing w:before="0" w:after="0" w:line="240" w:lineRule="auto"/>
            </w:pPr>
            <w:r>
              <w:rPr>
                <w:sz w:val="16"/>
                <w:szCs w:val="16"/>
              </w:rPr>
              <w:t>Rendimiento</w:t>
            </w:r>
          </w:p>
        </w:tc>
        <w:tc>
          <w:tcPr>
            <w:tcW w:w="3556" w:type="dxa"/>
            <w:shd w:val="clear" w:color="auto" w:fill="F2F6F7"/>
            <w:tcMar>
              <w:top w:w="70" w:type="dxa"/>
              <w:left w:w="90" w:type="dxa"/>
              <w:bottom w:w="70" w:type="dxa"/>
              <w:right w:w="90" w:type="dxa"/>
            </w:tcMar>
            <w:vAlign w:val="center"/>
          </w:tcPr>
          <w:p>
            <w:pPr>
              <w:spacing w:before="0" w:after="0" w:line="240" w:lineRule="auto"/>
            </w:pPr>
            <w:r>
              <w:rPr>
                <w:sz w:val="16"/>
                <w:szCs w:val="16"/>
              </w:rPr>
              <w:t>Cliente elige fecha</w:t>
            </w:r>
          </w:p>
        </w:tc>
        <w:tc>
          <w:tcPr>
            <w:tcW w:w="3745" w:type="dxa"/>
            <w:shd w:val="clear" w:color="auto" w:fill="F2F6F7"/>
            <w:tcMar>
              <w:top w:w="70" w:type="dxa"/>
              <w:left w:w="90" w:type="dxa"/>
              <w:bottom w:w="70" w:type="dxa"/>
              <w:right w:w="90" w:type="dxa"/>
            </w:tcMar>
            <w:vAlign w:val="center"/>
          </w:tcPr>
          <w:p>
            <w:pPr>
              <w:spacing w:before="0" w:after="0" w:line="240" w:lineRule="auto"/>
            </w:pPr>
            <w:r>
              <w:rPr>
                <w:sz w:val="16"/>
                <w:szCs w:val="16"/>
              </w:rPr>
              <w:t>Bloques disponibles en &lt; 200 ms</w:t>
            </w:r>
          </w:p>
        </w:tc>
      </w:tr>
      <w:tr>
        <w:trPr>
          <w:cantSplit/>
        </w:trPr>
        <w:tc>
          <w:tcPr>
            <w:tcW w:w="655" w:type="dxa"/>
            <w:tcMar>
              <w:top w:w="70" w:type="dxa"/>
              <w:left w:w="90" w:type="dxa"/>
              <w:bottom w:w="70" w:type="dxa"/>
              <w:right w:w="90" w:type="dxa"/>
            </w:tcMar>
            <w:vAlign w:val="center"/>
          </w:tcPr>
          <w:p>
            <w:pPr>
              <w:spacing w:before="0" w:after="0" w:line="240" w:lineRule="auto"/>
            </w:pPr>
            <w:r>
              <w:rPr>
                <w:sz w:val="16"/>
                <w:szCs w:val="16"/>
              </w:rPr>
              <w:t>QA3</w:t>
            </w:r>
          </w:p>
        </w:tc>
        <w:tc>
          <w:tcPr>
            <w:tcW w:w="1404" w:type="dxa"/>
            <w:tcMar>
              <w:top w:w="70" w:type="dxa"/>
              <w:left w:w="90" w:type="dxa"/>
              <w:bottom w:w="70" w:type="dxa"/>
              <w:right w:w="90" w:type="dxa"/>
            </w:tcMar>
            <w:vAlign w:val="center"/>
          </w:tcPr>
          <w:p>
            <w:pPr>
              <w:spacing w:before="0" w:after="0" w:line="240" w:lineRule="auto"/>
            </w:pPr>
            <w:r>
              <w:rPr>
                <w:sz w:val="16"/>
                <w:szCs w:val="16"/>
              </w:rPr>
              <w:t>Disponibilidad</w:t>
            </w:r>
          </w:p>
        </w:tc>
        <w:tc>
          <w:tcPr>
            <w:tcW w:w="3556" w:type="dxa"/>
            <w:tcMar>
              <w:top w:w="70" w:type="dxa"/>
              <w:left w:w="90" w:type="dxa"/>
              <w:bottom w:w="70" w:type="dxa"/>
              <w:right w:w="90" w:type="dxa"/>
            </w:tcMar>
            <w:vAlign w:val="center"/>
          </w:tcPr>
          <w:p>
            <w:pPr>
              <w:spacing w:before="0" w:after="0" w:line="240" w:lineRule="auto"/>
            </w:pPr>
            <w:r>
              <w:rPr>
                <w:sz w:val="16"/>
                <w:szCs w:val="16"/>
              </w:rPr>
              <w:t>Se pierde conexión en la app</w:t>
            </w:r>
          </w:p>
        </w:tc>
        <w:tc>
          <w:tcPr>
            <w:tcW w:w="3745" w:type="dxa"/>
            <w:tcMar>
              <w:top w:w="70" w:type="dxa"/>
              <w:left w:w="90" w:type="dxa"/>
              <w:bottom w:w="70" w:type="dxa"/>
              <w:right w:w="90" w:type="dxa"/>
            </w:tcMar>
            <w:vAlign w:val="center"/>
          </w:tcPr>
          <w:p>
            <w:pPr>
              <w:spacing w:before="0" w:after="0" w:line="240" w:lineRule="auto"/>
            </w:pPr>
            <w:r>
              <w:rPr>
                <w:sz w:val="16"/>
                <w:szCs w:val="16"/>
              </w:rPr>
              <w:t>Consulta de mis citas y catálogo desde caché; sincroniza al reconectar</w:t>
            </w:r>
          </w:p>
        </w:tc>
      </w:tr>
      <w:tr>
        <w:trPr>
          <w:cantSplit/>
        </w:trPr>
        <w:tc>
          <w:tcPr>
            <w:tcW w:w="655" w:type="dxa"/>
            <w:shd w:val="clear" w:color="auto" w:fill="F2F6F7"/>
            <w:tcMar>
              <w:top w:w="70" w:type="dxa"/>
              <w:left w:w="90" w:type="dxa"/>
              <w:bottom w:w="70" w:type="dxa"/>
              <w:right w:w="90" w:type="dxa"/>
            </w:tcMar>
            <w:vAlign w:val="center"/>
          </w:tcPr>
          <w:p>
            <w:pPr>
              <w:spacing w:before="0" w:after="0" w:line="240" w:lineRule="auto"/>
            </w:pPr>
            <w:r>
              <w:rPr>
                <w:sz w:val="16"/>
                <w:szCs w:val="16"/>
              </w:rPr>
              <w:t>QA4</w:t>
            </w:r>
          </w:p>
        </w:tc>
        <w:tc>
          <w:tcPr>
            <w:tcW w:w="1404" w:type="dxa"/>
            <w:shd w:val="clear" w:color="auto" w:fill="F2F6F7"/>
            <w:tcMar>
              <w:top w:w="70" w:type="dxa"/>
              <w:left w:w="90" w:type="dxa"/>
              <w:bottom w:w="70" w:type="dxa"/>
              <w:right w:w="90" w:type="dxa"/>
            </w:tcMar>
            <w:vAlign w:val="center"/>
          </w:tcPr>
          <w:p>
            <w:pPr>
              <w:spacing w:before="0" w:after="0" w:line="240" w:lineRule="auto"/>
            </w:pPr>
            <w:r>
              <w:rPr>
                <w:sz w:val="16"/>
                <w:szCs w:val="16"/>
              </w:rPr>
              <w:t>Seguridad</w:t>
            </w:r>
          </w:p>
        </w:tc>
        <w:tc>
          <w:tcPr>
            <w:tcW w:w="3556" w:type="dxa"/>
            <w:shd w:val="clear" w:color="auto" w:fill="F2F6F7"/>
            <w:tcMar>
              <w:top w:w="70" w:type="dxa"/>
              <w:left w:w="90" w:type="dxa"/>
              <w:bottom w:w="70" w:type="dxa"/>
              <w:right w:w="90" w:type="dxa"/>
            </w:tcMar>
            <w:vAlign w:val="center"/>
          </w:tcPr>
          <w:p>
            <w:pPr>
              <w:spacing w:before="0" w:after="0" w:line="240" w:lineRule="auto"/>
            </w:pPr>
            <w:r>
              <w:rPr>
                <w:sz w:val="16"/>
                <w:szCs w:val="16"/>
              </w:rPr>
              <w:t>Un usuario intenta ver agendas ajenas</w:t>
            </w:r>
          </w:p>
        </w:tc>
        <w:tc>
          <w:tcPr>
            <w:tcW w:w="3745" w:type="dxa"/>
            <w:shd w:val="clear" w:color="auto" w:fill="F2F6F7"/>
            <w:tcMar>
              <w:top w:w="70" w:type="dxa"/>
              <w:left w:w="90" w:type="dxa"/>
              <w:bottom w:w="70" w:type="dxa"/>
              <w:right w:w="90" w:type="dxa"/>
            </w:tcMar>
            <w:vAlign w:val="center"/>
          </w:tcPr>
          <w:p>
            <w:pPr>
              <w:spacing w:before="0" w:after="0" w:line="240" w:lineRule="auto"/>
            </w:pPr>
            <w:r>
              <w:rPr>
                <w:sz w:val="16"/>
                <w:szCs w:val="16"/>
              </w:rPr>
              <w:t>RBAC rechaza el acceso y queda en auditoría</w:t>
            </w:r>
          </w:p>
        </w:tc>
      </w:tr>
      <w:tr>
        <w:trPr>
          <w:cantSplit/>
        </w:trPr>
        <w:tc>
          <w:tcPr>
            <w:tcW w:w="655" w:type="dxa"/>
            <w:tcMar>
              <w:top w:w="70" w:type="dxa"/>
              <w:left w:w="90" w:type="dxa"/>
              <w:bottom w:w="70" w:type="dxa"/>
              <w:right w:w="90" w:type="dxa"/>
            </w:tcMar>
            <w:vAlign w:val="center"/>
          </w:tcPr>
          <w:p>
            <w:pPr>
              <w:spacing w:before="0" w:after="0" w:line="240" w:lineRule="auto"/>
            </w:pPr>
            <w:r>
              <w:rPr>
                <w:sz w:val="16"/>
                <w:szCs w:val="16"/>
              </w:rPr>
              <w:t>QA5</w:t>
            </w:r>
          </w:p>
        </w:tc>
        <w:tc>
          <w:tcPr>
            <w:tcW w:w="1404" w:type="dxa"/>
            <w:tcMar>
              <w:top w:w="70" w:type="dxa"/>
              <w:left w:w="90" w:type="dxa"/>
              <w:bottom w:w="70" w:type="dxa"/>
              <w:right w:w="90" w:type="dxa"/>
            </w:tcMar>
            <w:vAlign w:val="center"/>
          </w:tcPr>
          <w:p>
            <w:pPr>
              <w:spacing w:before="0" w:after="0" w:line="240" w:lineRule="auto"/>
            </w:pPr>
            <w:r>
              <w:rPr>
                <w:sz w:val="16"/>
                <w:szCs w:val="16"/>
              </w:rPr>
              <w:t>Privacidad</w:t>
            </w:r>
          </w:p>
        </w:tc>
        <w:tc>
          <w:tcPr>
            <w:tcW w:w="3556" w:type="dxa"/>
            <w:tcMar>
              <w:top w:w="70" w:type="dxa"/>
              <w:left w:w="90" w:type="dxa"/>
              <w:bottom w:w="70" w:type="dxa"/>
              <w:right w:w="90" w:type="dxa"/>
            </w:tcMar>
            <w:vAlign w:val="center"/>
          </w:tcPr>
          <w:p>
            <w:pPr>
              <w:spacing w:before="0" w:after="0" w:line="240" w:lineRule="auto"/>
            </w:pPr>
            <w:r>
              <w:rPr>
                <w:sz w:val="16"/>
                <w:szCs w:val="16"/>
              </w:rPr>
              <w:t>Titular solicita portabilidad</w:t>
            </w:r>
          </w:p>
        </w:tc>
        <w:tc>
          <w:tcPr>
            <w:tcW w:w="3745" w:type="dxa"/>
            <w:tcMar>
              <w:top w:w="70" w:type="dxa"/>
              <w:left w:w="90" w:type="dxa"/>
              <w:bottom w:w="70" w:type="dxa"/>
              <w:right w:w="90" w:type="dxa"/>
            </w:tcMar>
            <w:vAlign w:val="center"/>
          </w:tcPr>
          <w:p>
            <w:pPr>
              <w:spacing w:before="0" w:after="0" w:line="240" w:lineRule="auto"/>
            </w:pPr>
            <w:r>
              <w:rPr>
                <w:sz w:val="16"/>
                <w:szCs w:val="16"/>
              </w:rPr>
              <w:t>Archivo JSON/CSV en &lt; 1 min; solicitud trazada</w:t>
            </w:r>
          </w:p>
        </w:tc>
      </w:tr>
      <w:tr>
        <w:trPr>
          <w:cantSplit/>
        </w:trPr>
        <w:tc>
          <w:tcPr>
            <w:tcW w:w="655" w:type="dxa"/>
            <w:shd w:val="clear" w:color="auto" w:fill="F2F6F7"/>
            <w:tcMar>
              <w:top w:w="70" w:type="dxa"/>
              <w:left w:w="90" w:type="dxa"/>
              <w:bottom w:w="70" w:type="dxa"/>
              <w:right w:w="90" w:type="dxa"/>
            </w:tcMar>
            <w:vAlign w:val="center"/>
          </w:tcPr>
          <w:p>
            <w:pPr>
              <w:spacing w:before="0" w:after="0" w:line="240" w:lineRule="auto"/>
            </w:pPr>
            <w:r>
              <w:rPr>
                <w:sz w:val="16"/>
                <w:szCs w:val="16"/>
              </w:rPr>
              <w:t>QA6</w:t>
            </w:r>
          </w:p>
        </w:tc>
        <w:tc>
          <w:tcPr>
            <w:tcW w:w="1404" w:type="dxa"/>
            <w:shd w:val="clear" w:color="auto" w:fill="F2F6F7"/>
            <w:tcMar>
              <w:top w:w="70" w:type="dxa"/>
              <w:left w:w="90" w:type="dxa"/>
              <w:bottom w:w="70" w:type="dxa"/>
              <w:right w:w="90" w:type="dxa"/>
            </w:tcMar>
            <w:vAlign w:val="center"/>
          </w:tcPr>
          <w:p>
            <w:pPr>
              <w:spacing w:before="0" w:after="0" w:line="240" w:lineRule="auto"/>
            </w:pPr>
            <w:r>
              <w:rPr>
                <w:sz w:val="16"/>
                <w:szCs w:val="16"/>
              </w:rPr>
              <w:t>Cumplimiento</w:t>
            </w:r>
          </w:p>
        </w:tc>
        <w:tc>
          <w:tcPr>
            <w:tcW w:w="3556" w:type="dxa"/>
            <w:shd w:val="clear" w:color="auto" w:fill="F2F6F7"/>
            <w:tcMar>
              <w:top w:w="70" w:type="dxa"/>
              <w:left w:w="90" w:type="dxa"/>
              <w:bottom w:w="70" w:type="dxa"/>
              <w:right w:w="90" w:type="dxa"/>
            </w:tcMar>
            <w:vAlign w:val="center"/>
          </w:tcPr>
          <w:p>
            <w:pPr>
              <w:spacing w:before="0" w:after="0" w:line="240" w:lineRule="auto"/>
            </w:pPr>
            <w:r>
              <w:rPr>
                <w:sz w:val="16"/>
                <w:szCs w:val="16"/>
              </w:rPr>
              <w:t>Se detecta una brecha</w:t>
            </w:r>
          </w:p>
        </w:tc>
        <w:tc>
          <w:tcPr>
            <w:tcW w:w="3745" w:type="dxa"/>
            <w:shd w:val="clear" w:color="auto" w:fill="F2F6F7"/>
            <w:tcMar>
              <w:top w:w="70" w:type="dxa"/>
              <w:left w:w="90" w:type="dxa"/>
              <w:bottom w:w="70" w:type="dxa"/>
              <w:right w:w="90" w:type="dxa"/>
            </w:tcMar>
            <w:vAlign w:val="center"/>
          </w:tcPr>
          <w:p>
            <w:pPr>
              <w:spacing w:before="0" w:after="0" w:line="240" w:lineRule="auto"/>
            </w:pPr>
            <w:r>
              <w:rPr>
                <w:sz w:val="16"/>
                <w:szCs w:val="16"/>
              </w:rPr>
              <w:t>Registro, evaluación y notificación sin dilaciones indebidas</w:t>
            </w:r>
          </w:p>
        </w:tc>
      </w:tr>
      <w:tr>
        <w:trPr>
          <w:cantSplit/>
        </w:trPr>
        <w:tc>
          <w:tcPr>
            <w:tcW w:w="655" w:type="dxa"/>
            <w:tcMar>
              <w:top w:w="70" w:type="dxa"/>
              <w:left w:w="90" w:type="dxa"/>
              <w:bottom w:w="70" w:type="dxa"/>
              <w:right w:w="90" w:type="dxa"/>
            </w:tcMar>
            <w:vAlign w:val="center"/>
          </w:tcPr>
          <w:p>
            <w:pPr>
              <w:spacing w:before="0" w:after="0" w:line="240" w:lineRule="auto"/>
            </w:pPr>
            <w:r>
              <w:rPr>
                <w:sz w:val="16"/>
                <w:szCs w:val="16"/>
              </w:rPr>
              <w:t>QA7</w:t>
            </w:r>
          </w:p>
        </w:tc>
        <w:tc>
          <w:tcPr>
            <w:tcW w:w="1404" w:type="dxa"/>
            <w:tcMar>
              <w:top w:w="70" w:type="dxa"/>
              <w:left w:w="90" w:type="dxa"/>
              <w:bottom w:w="70" w:type="dxa"/>
              <w:right w:w="90" w:type="dxa"/>
            </w:tcMar>
            <w:vAlign w:val="center"/>
          </w:tcPr>
          <w:p>
            <w:pPr>
              <w:spacing w:before="0" w:after="0" w:line="240" w:lineRule="auto"/>
            </w:pPr>
            <w:r>
              <w:rPr>
                <w:sz w:val="16"/>
                <w:szCs w:val="16"/>
              </w:rPr>
              <w:t>Recuperabilidad</w:t>
            </w:r>
          </w:p>
        </w:tc>
        <w:tc>
          <w:tcPr>
            <w:tcW w:w="3556" w:type="dxa"/>
            <w:tcMar>
              <w:top w:w="70" w:type="dxa"/>
              <w:left w:w="90" w:type="dxa"/>
              <w:bottom w:w="70" w:type="dxa"/>
              <w:right w:w="90" w:type="dxa"/>
            </w:tcMar>
            <w:vAlign w:val="center"/>
          </w:tcPr>
          <w:p>
            <w:pPr>
              <w:spacing w:before="0" w:after="0" w:line="240" w:lineRule="auto"/>
            </w:pPr>
            <w:r>
              <w:rPr>
                <w:sz w:val="16"/>
                <w:szCs w:val="16"/>
              </w:rPr>
              <w:t>Falla del servidor</w:t>
            </w:r>
          </w:p>
        </w:tc>
        <w:tc>
          <w:tcPr>
            <w:tcW w:w="3745" w:type="dxa"/>
            <w:tcMar>
              <w:top w:w="70" w:type="dxa"/>
              <w:left w:w="90" w:type="dxa"/>
              <w:bottom w:w="70" w:type="dxa"/>
              <w:right w:w="90" w:type="dxa"/>
            </w:tcMar>
            <w:vAlign w:val="center"/>
          </w:tcPr>
          <w:p>
            <w:pPr>
              <w:spacing w:before="0" w:after="0" w:line="240" w:lineRule="auto"/>
            </w:pPr>
            <w:r>
              <w:rPr>
                <w:sz w:val="16"/>
                <w:szCs w:val="16"/>
              </w:rPr>
              <w:t>Restauración desde respaldo diario en ≤ 4 h</w:t>
            </w:r>
          </w:p>
        </w:tc>
      </w:tr>
      <w:tr>
        <w:trPr>
          <w:cantSplit/>
        </w:trPr>
        <w:tc>
          <w:tcPr>
            <w:tcW w:w="655" w:type="dxa"/>
            <w:shd w:val="clear" w:color="auto" w:fill="F2F6F7"/>
            <w:tcMar>
              <w:top w:w="70" w:type="dxa"/>
              <w:left w:w="90" w:type="dxa"/>
              <w:bottom w:w="70" w:type="dxa"/>
              <w:right w:w="90" w:type="dxa"/>
            </w:tcMar>
            <w:vAlign w:val="center"/>
          </w:tcPr>
          <w:p>
            <w:pPr>
              <w:spacing w:before="0" w:after="0" w:line="240" w:lineRule="auto"/>
            </w:pPr>
            <w:r>
              <w:rPr>
                <w:sz w:val="16"/>
                <w:szCs w:val="16"/>
              </w:rPr>
              <w:t>QA8</w:t>
            </w:r>
          </w:p>
        </w:tc>
        <w:tc>
          <w:tcPr>
            <w:tcW w:w="1404" w:type="dxa"/>
            <w:shd w:val="clear" w:color="auto" w:fill="F2F6F7"/>
            <w:tcMar>
              <w:top w:w="70" w:type="dxa"/>
              <w:left w:w="90" w:type="dxa"/>
              <w:bottom w:w="70" w:type="dxa"/>
              <w:right w:w="90" w:type="dxa"/>
            </w:tcMar>
            <w:vAlign w:val="center"/>
          </w:tcPr>
          <w:p>
            <w:pPr>
              <w:spacing w:before="0" w:after="0" w:line="240" w:lineRule="auto"/>
            </w:pPr>
            <w:r>
              <w:rPr>
                <w:sz w:val="16"/>
                <w:szCs w:val="16"/>
              </w:rPr>
              <w:t>Modificabilidad</w:t>
            </w:r>
          </w:p>
        </w:tc>
        <w:tc>
          <w:tcPr>
            <w:tcW w:w="3556" w:type="dxa"/>
            <w:shd w:val="clear" w:color="auto" w:fill="F2F6F7"/>
            <w:tcMar>
              <w:top w:w="70" w:type="dxa"/>
              <w:left w:w="90" w:type="dxa"/>
              <w:bottom w:w="70" w:type="dxa"/>
              <w:right w:w="90" w:type="dxa"/>
            </w:tcMar>
            <w:vAlign w:val="center"/>
          </w:tcPr>
          <w:p>
            <w:pPr>
              <w:spacing w:before="0" w:after="0" w:line="240" w:lineRule="auto"/>
            </w:pPr>
            <w:r>
              <w:rPr>
                <w:sz w:val="16"/>
                <w:szCs w:val="16"/>
              </w:rPr>
              <w:t>El negocio cambia el abono a porcentaje en una sucursal</w:t>
            </w:r>
          </w:p>
        </w:tc>
        <w:tc>
          <w:tcPr>
            <w:tcW w:w="3745" w:type="dxa"/>
            <w:shd w:val="clear" w:color="auto" w:fill="F2F6F7"/>
            <w:tcMar>
              <w:top w:w="70" w:type="dxa"/>
              <w:left w:w="90" w:type="dxa"/>
              <w:bottom w:w="70" w:type="dxa"/>
              <w:right w:w="90" w:type="dxa"/>
            </w:tcMar>
            <w:vAlign w:val="center"/>
          </w:tcPr>
          <w:p>
            <w:pPr>
              <w:spacing w:before="0" w:after="0" w:line="240" w:lineRule="auto"/>
            </w:pPr>
            <w:r>
              <w:rPr>
                <w:sz w:val="16"/>
                <w:szCs w:val="16"/>
              </w:rPr>
              <w:t>Solo se agrega un registro en configuracion; sin cambio de código ni de modelo</w:t>
            </w:r>
          </w:p>
        </w:tc>
      </w:tr>
    </w:tbl>
    <w:p>
      <w:pPr>
        <w:spacing w:before="0" w:after="60"/>
      </w:pPr>
    </w:p>
    <w:p>
      <w:pPr>
        <w:pStyle w:val="Ttulo1"/>
        <w:keepNext/>
        <w:spacing w:before="300" w:after="140"/>
      </w:pPr>
      <w:r>
        <w:rPr>
          <w:b/>
          <w:bCs/>
          <w:color w:val="1F4E5F"/>
          <w:sz w:val="26"/>
          <w:szCs w:val="26"/>
        </w:rPr>
        <w:t>4. Vista de escenarios (casos de uso)</w:t>
      </w:r>
    </w:p>
    <w:p>
      <w:pPr>
        <w:keepNext/>
        <w:spacing w:before="160" w:after="0"/>
      </w:pPr>
      <w:r>
        <w:rPr>
          <w:b/>
          <w:bCs/>
          <w:sz w:val="20"/>
          <w:szCs w:val="20"/>
        </w:rPr>
        <w:t>Figura 1</w:t>
      </w:r>
    </w:p>
    <w:p>
      <w:pPr>
        <w:keepNext/>
        <w:spacing w:before="0" w:after="80"/>
      </w:pPr>
      <w:r>
        <w:rPr>
          <w:i/>
          <w:iCs/>
          <w:sz w:val="20"/>
          <w:szCs w:val="20"/>
        </w:rPr>
        <w:t>DIAG-15 — Vista de escenarios: diagrama general de casos de uso</w:t>
      </w:r>
    </w:p>
    <w:p>
      <w:pPr>
        <w:keepNext/>
        <w:spacing w:before="40" w:after="40"/>
        <w:jc w:val="center"/>
      </w:pPr>
      <w:r>
        <w:drawing>
          <wp:inline xmlns:a="http://schemas.openxmlformats.org/drawingml/2006/main" xmlns:pic="http://schemas.openxmlformats.org/drawingml/2006/picture">
            <wp:extent cx="5760000" cy="5062061"/>
            <wp:docPr id="1" name="Picture 1"/>
            <wp:cNvGraphicFramePr>
              <a:graphicFrameLocks noChangeAspect="1"/>
            </wp:cNvGraphicFramePr>
            <a:graphic>
              <a:graphicData uri="http://schemas.openxmlformats.org/drawingml/2006/picture">
                <pic:pic>
                  <pic:nvPicPr>
                    <pic:cNvPr id="0" name="DIAG-15_Vista_de_escenarios_diagrama_general_de_casos_de_uso.png"/>
                    <pic:cNvPicPr/>
                  </pic:nvPicPr>
                  <pic:blipFill>
                    <a:blip r:embed="rId9"/>
                    <a:stretch>
                      <a:fillRect/>
                    </a:stretch>
                  </pic:blipFill>
                  <pic:spPr>
                    <a:xfrm>
                      <a:off x="0" y="0"/>
                      <a:ext cx="5760000" cy="5062061"/>
                    </a:xfrm>
                    <a:prstGeom prst="rect"/>
                  </pic:spPr>
                </pic:pic>
              </a:graphicData>
            </a:graphic>
          </wp:inline>
        </w:drawing>
      </w:r>
    </w:p>
    <w:p>
      <w:pPr>
        <w:spacing w:before="60" w:after="160" w:line="252" w:lineRule="auto"/>
      </w:pPr>
      <w:r>
        <w:rPr>
          <w:i/>
          <w:iCs/>
          <w:sz w:val="18"/>
          <w:szCs w:val="18"/>
        </w:rPr>
        <w:t xml:space="preserve">Nota. </w:t>
      </w:r>
      <w:r>
        <w:rPr>
          <w:sz w:val="18"/>
          <w:szCs w:val="18"/>
        </w:rPr>
        <w:t>Visión completa de los 41 casos de uso agrupados en siete módulos y su relación con los siete actores (cada flecha indica que el actor participa en casos de ese módulo). El Dueño hereda los casos del Administrador de sucursal. El detalle de cada relación actor–caso se muestra en los diagramas por módulo. Elaboración propia con PlantUML. Notación basada en Object Management Group [OMG] (2017).</w:t>
      </w:r>
    </w:p>
    <w:p>
      <w:pPr>
        <w:keepNext/>
        <w:spacing w:before="160" w:after="0"/>
      </w:pPr>
      <w:r>
        <w:rPr>
          <w:b/>
          <w:bCs/>
          <w:sz w:val="20"/>
          <w:szCs w:val="20"/>
        </w:rPr>
        <w:t>Figura 2</w:t>
      </w:r>
    </w:p>
    <w:p>
      <w:pPr>
        <w:keepNext/>
        <w:spacing w:before="0" w:after="80"/>
      </w:pPr>
      <w:r>
        <w:rPr>
          <w:i/>
          <w:iCs/>
          <w:sz w:val="20"/>
          <w:szCs w:val="20"/>
        </w:rPr>
        <w:t>DIAG-16 — Casos de uso: cuenta y acceso</w:t>
      </w:r>
    </w:p>
    <w:p>
      <w:pPr>
        <w:keepNext/>
        <w:spacing w:before="40" w:after="40"/>
        <w:jc w:val="center"/>
      </w:pPr>
      <w:r>
        <w:drawing>
          <wp:inline xmlns:a="http://schemas.openxmlformats.org/drawingml/2006/main" xmlns:pic="http://schemas.openxmlformats.org/drawingml/2006/picture">
            <wp:extent cx="4680000" cy="4516934"/>
            <wp:docPr id="2" name="Picture 2"/>
            <wp:cNvGraphicFramePr>
              <a:graphicFrameLocks noChangeAspect="1"/>
            </wp:cNvGraphicFramePr>
            <a:graphic>
              <a:graphicData uri="http://schemas.openxmlformats.org/drawingml/2006/picture">
                <pic:pic>
                  <pic:nvPicPr>
                    <pic:cNvPr id="0" name="DIAG-16_Casos_de_uso_cuenta_y_acceso.png"/>
                    <pic:cNvPicPr/>
                  </pic:nvPicPr>
                  <pic:blipFill>
                    <a:blip r:embed="rId10"/>
                    <a:stretch>
                      <a:fillRect/>
                    </a:stretch>
                  </pic:blipFill>
                  <pic:spPr>
                    <a:xfrm>
                      <a:off x="0" y="0"/>
                      <a:ext cx="4680000" cy="4516934"/>
                    </a:xfrm>
                    <a:prstGeom prst="rect"/>
                  </pic:spPr>
                </pic:pic>
              </a:graphicData>
            </a:graphic>
          </wp:inline>
        </w:drawing>
      </w:r>
    </w:p>
    <w:p>
      <w:pPr>
        <w:spacing w:before="60" w:after="160" w:line="252" w:lineRule="auto"/>
      </w:pPr>
      <w:r>
        <w:rPr>
          <w:i/>
          <w:iCs/>
          <w:sz w:val="18"/>
          <w:szCs w:val="18"/>
        </w:rPr>
        <w:t xml:space="preserve">Nota. </w:t>
      </w:r>
      <w:r>
        <w:rPr>
          <w:sz w:val="18"/>
          <w:szCs w:val="18"/>
        </w:rPr>
        <w:t>Casos de uso del módulo Cuenta, con sus actores y relaciones de inclusión o generalización. La especificación textual de cada caso se encuentra en el documento de Especificación de Casos de Uso. Elaboración propia con PlantUML.</w:t>
      </w:r>
    </w:p>
    <w:p>
      <w:pPr>
        <w:keepNext/>
        <w:spacing w:before="160" w:after="0"/>
      </w:pPr>
      <w:r>
        <w:rPr>
          <w:b/>
          <w:bCs/>
          <w:sz w:val="20"/>
          <w:szCs w:val="20"/>
        </w:rPr>
        <w:t>Figura 3</w:t>
      </w:r>
    </w:p>
    <w:p>
      <w:pPr>
        <w:keepNext/>
        <w:spacing w:before="0" w:after="80"/>
      </w:pPr>
      <w:r>
        <w:rPr>
          <w:i/>
          <w:iCs/>
          <w:sz w:val="20"/>
          <w:szCs w:val="20"/>
        </w:rPr>
        <w:t>DIAG-17 — Casos de uso: privacidad y derechos del titular («Mis datos»)</w:t>
      </w:r>
    </w:p>
    <w:p>
      <w:pPr>
        <w:keepNext/>
        <w:spacing w:before="40" w:after="40"/>
        <w:jc w:val="center"/>
      </w:pPr>
      <w:r>
        <w:drawing>
          <wp:inline xmlns:a="http://schemas.openxmlformats.org/drawingml/2006/main" xmlns:pic="http://schemas.openxmlformats.org/drawingml/2006/picture">
            <wp:extent cx="3636658" cy="5039999"/>
            <wp:docPr id="3" name="Picture 3"/>
            <wp:cNvGraphicFramePr>
              <a:graphicFrameLocks noChangeAspect="1"/>
            </wp:cNvGraphicFramePr>
            <a:graphic>
              <a:graphicData uri="http://schemas.openxmlformats.org/drawingml/2006/picture">
                <pic:pic>
                  <pic:nvPicPr>
                    <pic:cNvPr id="0" name="DIAG-17_Casos_de_uso_privacidad_y_derechos_del_titular_Mis_datos.png"/>
                    <pic:cNvPicPr/>
                  </pic:nvPicPr>
                  <pic:blipFill>
                    <a:blip r:embed="rId11"/>
                    <a:stretch>
                      <a:fillRect/>
                    </a:stretch>
                  </pic:blipFill>
                  <pic:spPr>
                    <a:xfrm>
                      <a:off x="0" y="0"/>
                      <a:ext cx="3636658" cy="5039999"/>
                    </a:xfrm>
                    <a:prstGeom prst="rect"/>
                  </pic:spPr>
                </pic:pic>
              </a:graphicData>
            </a:graphic>
          </wp:inline>
        </w:drawing>
      </w:r>
    </w:p>
    <w:p>
      <w:pPr>
        <w:spacing w:before="60" w:after="160" w:line="252" w:lineRule="auto"/>
      </w:pPr>
      <w:r>
        <w:rPr>
          <w:i/>
          <w:iCs/>
          <w:sz w:val="18"/>
          <w:szCs w:val="18"/>
        </w:rPr>
        <w:t xml:space="preserve">Nota. </w:t>
      </w:r>
      <w:r>
        <w:rPr>
          <w:sz w:val="18"/>
          <w:szCs w:val="18"/>
        </w:rPr>
        <w:t>Casos de uso del módulo Privacidad, con sus actores y relaciones de inclusión o generalización. La especificación textual de cada caso se encuentra en el documento de Especificación de Casos de Uso. Elaboración propia con PlantUML.</w:t>
      </w:r>
    </w:p>
    <w:p>
      <w:pPr>
        <w:keepNext/>
        <w:spacing w:before="160" w:after="0"/>
      </w:pPr>
      <w:r>
        <w:rPr>
          <w:b/>
          <w:bCs/>
          <w:sz w:val="20"/>
          <w:szCs w:val="20"/>
        </w:rPr>
        <w:t>Figura 4</w:t>
      </w:r>
    </w:p>
    <w:p>
      <w:pPr>
        <w:keepNext/>
        <w:spacing w:before="0" w:after="80"/>
      </w:pPr>
      <w:r>
        <w:rPr>
          <w:i/>
          <w:iCs/>
          <w:sz w:val="20"/>
          <w:szCs w:val="20"/>
        </w:rPr>
        <w:t>DIAG-18 — Casos de uso: catálogo, agendamiento y pagos</w:t>
      </w:r>
    </w:p>
    <w:p>
      <w:pPr>
        <w:keepNext/>
        <w:spacing w:before="40" w:after="40"/>
        <w:jc w:val="center"/>
      </w:pPr>
      <w:r>
        <w:drawing>
          <wp:inline xmlns:a="http://schemas.openxmlformats.org/drawingml/2006/main" xmlns:pic="http://schemas.openxmlformats.org/drawingml/2006/picture">
            <wp:extent cx="4322913" cy="5040000"/>
            <wp:docPr id="4" name="Picture 4"/>
            <wp:cNvGraphicFramePr>
              <a:graphicFrameLocks noChangeAspect="1"/>
            </wp:cNvGraphicFramePr>
            <a:graphic>
              <a:graphicData uri="http://schemas.openxmlformats.org/drawingml/2006/picture">
                <pic:pic>
                  <pic:nvPicPr>
                    <pic:cNvPr id="0" name="DIAG-18_Casos_de_uso_catalogo_agendamiento_y_pagos.png"/>
                    <pic:cNvPicPr/>
                  </pic:nvPicPr>
                  <pic:blipFill>
                    <a:blip r:embed="rId12"/>
                    <a:stretch>
                      <a:fillRect/>
                    </a:stretch>
                  </pic:blipFill>
                  <pic:spPr>
                    <a:xfrm>
                      <a:off x="0" y="0"/>
                      <a:ext cx="4322913" cy="5040000"/>
                    </a:xfrm>
                    <a:prstGeom prst="rect"/>
                  </pic:spPr>
                </pic:pic>
              </a:graphicData>
            </a:graphic>
          </wp:inline>
        </w:drawing>
      </w:r>
    </w:p>
    <w:p>
      <w:pPr>
        <w:spacing w:before="60" w:after="160" w:line="252" w:lineRule="auto"/>
      </w:pPr>
      <w:r>
        <w:rPr>
          <w:i/>
          <w:iCs/>
          <w:sz w:val="18"/>
          <w:szCs w:val="18"/>
        </w:rPr>
        <w:t xml:space="preserve">Nota. </w:t>
      </w:r>
      <w:r>
        <w:rPr>
          <w:sz w:val="18"/>
          <w:szCs w:val="18"/>
        </w:rPr>
        <w:t>Casos de uso del módulo Agendamiento, con sus actores y relaciones de inclusión o generalización. La especificación textual de cada caso se encuentra en el documento de Especificación de Casos de Uso. Elaboración propia con PlantUML.</w:t>
      </w:r>
    </w:p>
    <w:p>
      <w:pPr>
        <w:keepNext/>
        <w:spacing w:before="160" w:after="0"/>
      </w:pPr>
      <w:r>
        <w:rPr>
          <w:b/>
          <w:bCs/>
          <w:sz w:val="20"/>
          <w:szCs w:val="20"/>
        </w:rPr>
        <w:t>Figura 5</w:t>
      </w:r>
    </w:p>
    <w:p>
      <w:pPr>
        <w:keepNext/>
        <w:spacing w:before="0" w:after="80"/>
      </w:pPr>
      <w:r>
        <w:rPr>
          <w:i/>
          <w:iCs/>
          <w:sz w:val="20"/>
          <w:szCs w:val="20"/>
        </w:rPr>
        <w:t>DIAG-19 — Casos de uso: atención en sucursal y orden de llegada</w:t>
      </w:r>
    </w:p>
    <w:p>
      <w:pPr>
        <w:keepNext/>
        <w:spacing w:before="40" w:after="40"/>
        <w:jc w:val="center"/>
      </w:pPr>
      <w:r>
        <w:drawing>
          <wp:inline xmlns:a="http://schemas.openxmlformats.org/drawingml/2006/main" xmlns:pic="http://schemas.openxmlformats.org/drawingml/2006/picture">
            <wp:extent cx="4680000" cy="4258749"/>
            <wp:docPr id="5" name="Picture 5"/>
            <wp:cNvGraphicFramePr>
              <a:graphicFrameLocks noChangeAspect="1"/>
            </wp:cNvGraphicFramePr>
            <a:graphic>
              <a:graphicData uri="http://schemas.openxmlformats.org/drawingml/2006/picture">
                <pic:pic>
                  <pic:nvPicPr>
                    <pic:cNvPr id="0" name="DIAG-19_Casos_de_uso_atencion_en_sucursal_y_orden_de_llegada.png"/>
                    <pic:cNvPicPr/>
                  </pic:nvPicPr>
                  <pic:blipFill>
                    <a:blip r:embed="rId13"/>
                    <a:stretch>
                      <a:fillRect/>
                    </a:stretch>
                  </pic:blipFill>
                  <pic:spPr>
                    <a:xfrm>
                      <a:off x="0" y="0"/>
                      <a:ext cx="4680000" cy="4258749"/>
                    </a:xfrm>
                    <a:prstGeom prst="rect"/>
                  </pic:spPr>
                </pic:pic>
              </a:graphicData>
            </a:graphic>
          </wp:inline>
        </w:drawing>
      </w:r>
    </w:p>
    <w:p>
      <w:pPr>
        <w:spacing w:before="60" w:after="160" w:line="252" w:lineRule="auto"/>
      </w:pPr>
      <w:r>
        <w:rPr>
          <w:i/>
          <w:iCs/>
          <w:sz w:val="18"/>
          <w:szCs w:val="18"/>
        </w:rPr>
        <w:t xml:space="preserve">Nota. </w:t>
      </w:r>
      <w:r>
        <w:rPr>
          <w:sz w:val="18"/>
          <w:szCs w:val="18"/>
        </w:rPr>
        <w:t>Casos de uso del módulo Sucursal, con sus actores y relaciones de inclusión o generalización. La especificación textual de cada caso se encuentra en el documento de Especificación de Casos de Uso. Elaboración propia con PlantUML.</w:t>
      </w:r>
    </w:p>
    <w:p>
      <w:pPr>
        <w:pStyle w:val="Ttulo1"/>
        <w:keepNext/>
        <w:spacing w:before="300" w:after="140"/>
      </w:pPr>
      <w:r>
        <w:rPr>
          <w:b/>
          <w:bCs/>
          <w:color w:val="1F4E5F"/>
          <w:sz w:val="26"/>
          <w:szCs w:val="26"/>
        </w:rPr>
        <w:t>5. Vista lógica</w:t>
      </w:r>
    </w:p>
    <w:p>
      <w:pPr>
        <w:keepNext/>
        <w:spacing w:before="160" w:after="0"/>
      </w:pPr>
      <w:r>
        <w:rPr>
          <w:b/>
          <w:bCs/>
          <w:sz w:val="20"/>
          <w:szCs w:val="20"/>
        </w:rPr>
        <w:t>Figura 6</w:t>
      </w:r>
    </w:p>
    <w:p>
      <w:pPr>
        <w:keepNext/>
        <w:spacing w:before="0" w:after="80"/>
      </w:pPr>
      <w:r>
        <w:rPr>
          <w:i/>
          <w:iCs/>
          <w:sz w:val="20"/>
          <w:szCs w:val="20"/>
        </w:rPr>
        <w:t>DIAG-01 — Vista lógica: capas y paquetes del sistema</w:t>
      </w:r>
    </w:p>
    <w:p>
      <w:pPr>
        <w:keepNext/>
        <w:spacing w:before="40" w:after="40"/>
        <w:jc w:val="center"/>
      </w:pPr>
      <w:r>
        <w:drawing>
          <wp:inline xmlns:a="http://schemas.openxmlformats.org/drawingml/2006/main" xmlns:pic="http://schemas.openxmlformats.org/drawingml/2006/picture">
            <wp:extent cx="5760000" cy="3150325"/>
            <wp:docPr id="6" name="Picture 6"/>
            <wp:cNvGraphicFramePr>
              <a:graphicFrameLocks noChangeAspect="1"/>
            </wp:cNvGraphicFramePr>
            <a:graphic>
              <a:graphicData uri="http://schemas.openxmlformats.org/drawingml/2006/picture">
                <pic:pic>
                  <pic:nvPicPr>
                    <pic:cNvPr id="0" name="DIAG-01_Vista_logica_capas_y_paquetes_del_sistema.png"/>
                    <pic:cNvPicPr/>
                  </pic:nvPicPr>
                  <pic:blipFill>
                    <a:blip r:embed="rId14"/>
                    <a:stretch>
                      <a:fillRect/>
                    </a:stretch>
                  </pic:blipFill>
                  <pic:spPr>
                    <a:xfrm>
                      <a:off x="0" y="0"/>
                      <a:ext cx="5760000" cy="3150325"/>
                    </a:xfrm>
                    <a:prstGeom prst="rect"/>
                  </pic:spPr>
                </pic:pic>
              </a:graphicData>
            </a:graphic>
          </wp:inline>
        </w:drawing>
      </w:r>
    </w:p>
    <w:p>
      <w:pPr>
        <w:spacing w:before="60" w:after="160" w:line="252" w:lineRule="auto"/>
      </w:pPr>
      <w:r>
        <w:rPr>
          <w:i/>
          <w:iCs/>
          <w:sz w:val="18"/>
          <w:szCs w:val="18"/>
        </w:rPr>
        <w:t xml:space="preserve">Nota. </w:t>
      </w:r>
      <w:r>
        <w:rPr>
          <w:sz w:val="18"/>
          <w:szCs w:val="18"/>
        </w:rPr>
        <w:t>Organización lógica en capas: presentación (web y app), servicios de aplicación expuestos por la API, dominio y persistencia. Cada paquete agrupa las clases de un módulo funcional de la ERS. Elaboración propia con PlantUML. Notación basada en Kruchten (1995).</w:t>
      </w:r>
    </w:p>
    <w:p>
      <w:pPr>
        <w:keepNext/>
        <w:spacing w:before="160" w:after="0"/>
      </w:pPr>
      <w:r>
        <w:rPr>
          <w:b/>
          <w:bCs/>
          <w:sz w:val="20"/>
          <w:szCs w:val="20"/>
        </w:rPr>
        <w:t>Figura 7</w:t>
      </w:r>
    </w:p>
    <w:p>
      <w:pPr>
        <w:keepNext/>
        <w:spacing w:before="0" w:after="80"/>
      </w:pPr>
      <w:r>
        <w:rPr>
          <w:i/>
          <w:iCs/>
          <w:sz w:val="20"/>
          <w:szCs w:val="20"/>
        </w:rPr>
        <w:t>DIAG-02 — Vista lógica: modelo de clases del dominio</w:t>
      </w:r>
    </w:p>
    <w:p>
      <w:pPr>
        <w:keepNext/>
        <w:spacing w:before="40" w:after="40"/>
        <w:jc w:val="center"/>
      </w:pPr>
      <w:r>
        <w:drawing>
          <wp:inline xmlns:a="http://schemas.openxmlformats.org/drawingml/2006/main" xmlns:pic="http://schemas.openxmlformats.org/drawingml/2006/picture">
            <wp:extent cx="5940000" cy="3937778"/>
            <wp:docPr id="7" name="Picture 7"/>
            <wp:cNvGraphicFramePr>
              <a:graphicFrameLocks noChangeAspect="1"/>
            </wp:cNvGraphicFramePr>
            <a:graphic>
              <a:graphicData uri="http://schemas.openxmlformats.org/drawingml/2006/picture">
                <pic:pic>
                  <pic:nvPicPr>
                    <pic:cNvPr id="0" name="DIAG-02_Vista_logica_modelo_de_clases_del_dominio.png"/>
                    <pic:cNvPicPr/>
                  </pic:nvPicPr>
                  <pic:blipFill>
                    <a:blip r:embed="rId15"/>
                    <a:stretch>
                      <a:fillRect/>
                    </a:stretch>
                  </pic:blipFill>
                  <pic:spPr>
                    <a:xfrm>
                      <a:off x="0" y="0"/>
                      <a:ext cx="5940000" cy="3937778"/>
                    </a:xfrm>
                    <a:prstGeom prst="rect"/>
                  </pic:spPr>
                </pic:pic>
              </a:graphicData>
            </a:graphic>
          </wp:inline>
        </w:drawing>
      </w:r>
    </w:p>
    <w:p>
      <w:pPr>
        <w:spacing w:before="60" w:after="160" w:line="252" w:lineRule="auto"/>
      </w:pPr>
      <w:r>
        <w:rPr>
          <w:i/>
          <w:iCs/>
          <w:sz w:val="18"/>
          <w:szCs w:val="18"/>
        </w:rPr>
        <w:t xml:space="preserve">Nota. </w:t>
      </w:r>
      <w:r>
        <w:rPr>
          <w:sz w:val="18"/>
          <w:szCs w:val="18"/>
        </w:rPr>
        <w:t>Clases del dominio con atributos, métodos, relaciones y multiplicidades. La clase Configuracion parametriza el abono (monto o porcentaje) por sucursal o servicio; Consentimiento y SolicitudDerecho implementan la Ley N° 21.719. Elaboración propia con PlantUML. Notación basada en Object Management Group [OMG] (2017).</w:t>
      </w:r>
    </w:p>
    <w:p>
      <w:pPr>
        <w:pStyle w:val="Ttulo1"/>
        <w:keepNext/>
        <w:spacing w:before="300" w:after="140"/>
      </w:pPr>
      <w:r>
        <w:rPr>
          <w:b/>
          <w:bCs/>
          <w:color w:val="1F4E5F"/>
          <w:sz w:val="26"/>
          <w:szCs w:val="26"/>
        </w:rPr>
        <w:t>6. Vista de procesos</w:t>
      </w:r>
    </w:p>
    <w:p>
      <w:pPr>
        <w:pStyle w:val="Ttulo2"/>
        <w:keepNext/>
        <w:spacing w:before="220" w:after="100"/>
      </w:pPr>
      <w:r>
        <w:rPr>
          <w:b/>
          <w:bCs/>
          <w:color w:val="2E6B7E"/>
          <w:sz w:val="22"/>
          <w:szCs w:val="22"/>
        </w:rPr>
        <w:t>6.1 Diagramas de secuencia de flujos críticos</w:t>
      </w:r>
    </w:p>
    <w:p>
      <w:pPr>
        <w:keepNext/>
        <w:spacing w:before="160" w:after="0"/>
      </w:pPr>
      <w:r>
        <w:rPr>
          <w:b/>
          <w:bCs/>
          <w:sz w:val="20"/>
          <w:szCs w:val="20"/>
        </w:rPr>
        <w:t>Figura 8</w:t>
      </w:r>
    </w:p>
    <w:p>
      <w:pPr>
        <w:keepNext/>
        <w:spacing w:before="0" w:after="80"/>
      </w:pPr>
      <w:r>
        <w:rPr>
          <w:i/>
          <w:iCs/>
          <w:sz w:val="20"/>
          <w:szCs w:val="20"/>
        </w:rPr>
        <w:t>DIAG-03 — Vista de procesos: secuencia de reserva con abono</w:t>
      </w:r>
    </w:p>
    <w:p>
      <w:pPr>
        <w:keepNext/>
        <w:spacing w:before="40" w:after="40"/>
        <w:jc w:val="center"/>
      </w:pPr>
      <w:r>
        <w:drawing>
          <wp:inline xmlns:a="http://schemas.openxmlformats.org/drawingml/2006/main" xmlns:pic="http://schemas.openxmlformats.org/drawingml/2006/picture">
            <wp:extent cx="5760000" cy="5682857"/>
            <wp:docPr id="8" name="Picture 8"/>
            <wp:cNvGraphicFramePr>
              <a:graphicFrameLocks noChangeAspect="1"/>
            </wp:cNvGraphicFramePr>
            <a:graphic>
              <a:graphicData uri="http://schemas.openxmlformats.org/drawingml/2006/picture">
                <pic:pic>
                  <pic:nvPicPr>
                    <pic:cNvPr id="0" name="DIAG-03_Vista_de_procesos_secuencia_de_reserva_con_abono.png"/>
                    <pic:cNvPicPr/>
                  </pic:nvPicPr>
                  <pic:blipFill>
                    <a:blip r:embed="rId16"/>
                    <a:stretch>
                      <a:fillRect/>
                    </a:stretch>
                  </pic:blipFill>
                  <pic:spPr>
                    <a:xfrm>
                      <a:off x="0" y="0"/>
                      <a:ext cx="5760000" cy="5682857"/>
                    </a:xfrm>
                    <a:prstGeom prst="rect"/>
                  </pic:spPr>
                </pic:pic>
              </a:graphicData>
            </a:graphic>
          </wp:inline>
        </w:drawing>
      </w:r>
    </w:p>
    <w:p>
      <w:pPr>
        <w:spacing w:before="60" w:after="160" w:line="252" w:lineRule="auto"/>
      </w:pPr>
      <w:r>
        <w:rPr>
          <w:i/>
          <w:iCs/>
          <w:sz w:val="18"/>
          <w:szCs w:val="18"/>
        </w:rPr>
        <w:t xml:space="preserve">Nota. </w:t>
      </w:r>
      <w:r>
        <w:rPr>
          <w:sz w:val="18"/>
          <w:szCs w:val="18"/>
        </w:rPr>
        <w:t>Flujo crítico de agendamiento: la reserva se crea en estado PENDIENTE_PAGO, la base de datos impide traslapes, la pasarela autoriza el abono de $3.000 y recién entonces la cita queda CONFIRMADA y se notifica. Elaboración propia con PlantUML.</w:t>
      </w:r>
    </w:p>
    <w:p>
      <w:pPr>
        <w:keepNext/>
        <w:spacing w:before="160" w:after="0"/>
      </w:pPr>
      <w:r>
        <w:rPr>
          <w:b/>
          <w:bCs/>
          <w:sz w:val="20"/>
          <w:szCs w:val="20"/>
        </w:rPr>
        <w:t>Figura 9</w:t>
      </w:r>
    </w:p>
    <w:p>
      <w:pPr>
        <w:keepNext/>
        <w:spacing w:before="0" w:after="80"/>
      </w:pPr>
      <w:r>
        <w:rPr>
          <w:i/>
          <w:iCs/>
          <w:sz w:val="20"/>
          <w:szCs w:val="20"/>
        </w:rPr>
        <w:t>DIAG-04 — Vista de procesos: secuencia de atención por orden de llegada</w:t>
      </w:r>
    </w:p>
    <w:p>
      <w:pPr>
        <w:keepNext/>
        <w:spacing w:before="40" w:after="40"/>
        <w:jc w:val="center"/>
      </w:pPr>
      <w:r>
        <w:drawing>
          <wp:inline xmlns:a="http://schemas.openxmlformats.org/drawingml/2006/main" xmlns:pic="http://schemas.openxmlformats.org/drawingml/2006/picture">
            <wp:extent cx="5760000" cy="4457504"/>
            <wp:docPr id="9" name="Picture 9"/>
            <wp:cNvGraphicFramePr>
              <a:graphicFrameLocks noChangeAspect="1"/>
            </wp:cNvGraphicFramePr>
            <a:graphic>
              <a:graphicData uri="http://schemas.openxmlformats.org/drawingml/2006/picture">
                <pic:pic>
                  <pic:nvPicPr>
                    <pic:cNvPr id="0" name="DIAG-04_Vista_de_procesos_secuencia_de_atencion_por_orden_de_llegada.png"/>
                    <pic:cNvPicPr/>
                  </pic:nvPicPr>
                  <pic:blipFill>
                    <a:blip r:embed="rId17"/>
                    <a:stretch>
                      <a:fillRect/>
                    </a:stretch>
                  </pic:blipFill>
                  <pic:spPr>
                    <a:xfrm>
                      <a:off x="0" y="0"/>
                      <a:ext cx="5760000" cy="4457504"/>
                    </a:xfrm>
                    <a:prstGeom prst="rect"/>
                  </pic:spPr>
                </pic:pic>
              </a:graphicData>
            </a:graphic>
          </wp:inline>
        </w:drawing>
      </w:r>
    </w:p>
    <w:p>
      <w:pPr>
        <w:spacing w:before="60" w:after="160" w:line="252" w:lineRule="auto"/>
      </w:pPr>
      <w:r>
        <w:rPr>
          <w:i/>
          <w:iCs/>
          <w:sz w:val="18"/>
          <w:szCs w:val="18"/>
        </w:rPr>
        <w:t xml:space="preserve">Nota. </w:t>
      </w:r>
      <w:r>
        <w:rPr>
          <w:sz w:val="18"/>
          <w:szCs w:val="18"/>
        </w:rPr>
        <w:t>La plataforma complementa la atención presencial. El administrador de sucursal (cajero/a) registra el turno, lo llama, confirma el servicio que se prestará, inicia la atención y registra el término y el monto, reemplazando el Excel. El barbero solo presta el servicio. Si el cliente se retira, se registra el abandono, que alimenta el KPI de clientes perdidos. Elaboración propia con PlantUML.</w:t>
      </w:r>
    </w:p>
    <w:p>
      <w:pPr>
        <w:keepNext/>
        <w:spacing w:before="160" w:after="0"/>
      </w:pPr>
      <w:r>
        <w:rPr>
          <w:b/>
          <w:bCs/>
          <w:sz w:val="20"/>
          <w:szCs w:val="20"/>
        </w:rPr>
        <w:t>Figura 10</w:t>
      </w:r>
    </w:p>
    <w:p>
      <w:pPr>
        <w:keepNext/>
        <w:spacing w:before="0" w:after="80"/>
      </w:pPr>
      <w:r>
        <w:rPr>
          <w:i/>
          <w:iCs/>
          <w:sz w:val="20"/>
          <w:szCs w:val="20"/>
        </w:rPr>
        <w:t>DIAG-05 — Vista de procesos: secuencia de cancelación, reprogramación y no-show</w:t>
      </w:r>
    </w:p>
    <w:p>
      <w:pPr>
        <w:keepNext/>
        <w:spacing w:before="40" w:after="40"/>
        <w:jc w:val="center"/>
      </w:pPr>
      <w:r>
        <w:drawing>
          <wp:inline xmlns:a="http://schemas.openxmlformats.org/drawingml/2006/main" xmlns:pic="http://schemas.openxmlformats.org/drawingml/2006/picture">
            <wp:extent cx="5760000" cy="3505021"/>
            <wp:docPr id="10" name="Picture 10"/>
            <wp:cNvGraphicFramePr>
              <a:graphicFrameLocks noChangeAspect="1"/>
            </wp:cNvGraphicFramePr>
            <a:graphic>
              <a:graphicData uri="http://schemas.openxmlformats.org/drawingml/2006/picture">
                <pic:pic>
                  <pic:nvPicPr>
                    <pic:cNvPr id="0" name="DIAG-05_Vista_de_procesos_secuencia_de_cancelacion_reprogramacion_y_no_show.png"/>
                    <pic:cNvPicPr/>
                  </pic:nvPicPr>
                  <pic:blipFill>
                    <a:blip r:embed="rId18"/>
                    <a:stretch>
                      <a:fillRect/>
                    </a:stretch>
                  </pic:blipFill>
                  <pic:spPr>
                    <a:xfrm>
                      <a:off x="0" y="0"/>
                      <a:ext cx="5760000" cy="3505021"/>
                    </a:xfrm>
                    <a:prstGeom prst="rect"/>
                  </pic:spPr>
                </pic:pic>
              </a:graphicData>
            </a:graphic>
          </wp:inline>
        </w:drawing>
      </w:r>
    </w:p>
    <w:p>
      <w:pPr>
        <w:spacing w:before="60" w:after="160" w:line="252" w:lineRule="auto"/>
      </w:pPr>
      <w:r>
        <w:rPr>
          <w:i/>
          <w:iCs/>
          <w:sz w:val="18"/>
          <w:szCs w:val="18"/>
        </w:rPr>
        <w:t xml:space="preserve">Nota. </w:t>
      </w:r>
      <w:r>
        <w:rPr>
          <w:sz w:val="18"/>
          <w:szCs w:val="18"/>
        </w:rPr>
        <w:t>Aplicación automática de las reglas del abono: con 24 horas o más se puede reprogramar (máximo 2 veces con el mismo abono) o cancelar dejando saldo a favor; con menos de 24 horas o inasistencia el abono se pierde. El no-show y la cancelación por el local los registra el administrador de sucursal (cajero/a). Elaboración propia con PlantUML.</w:t>
      </w:r>
    </w:p>
    <w:p>
      <w:pPr>
        <w:keepNext/>
        <w:spacing w:before="160" w:after="0"/>
      </w:pPr>
      <w:r>
        <w:rPr>
          <w:b/>
          <w:bCs/>
          <w:sz w:val="20"/>
          <w:szCs w:val="20"/>
        </w:rPr>
        <w:t>Figura 11</w:t>
      </w:r>
    </w:p>
    <w:p>
      <w:pPr>
        <w:keepNext/>
        <w:spacing w:before="0" w:after="80"/>
      </w:pPr>
      <w:r>
        <w:rPr>
          <w:i/>
          <w:iCs/>
          <w:sz w:val="20"/>
          <w:szCs w:val="20"/>
        </w:rPr>
        <w:t>DIAG-06 — Vista de procesos: secuencia de solicitud de derechos del titular</w:t>
      </w:r>
    </w:p>
    <w:p>
      <w:pPr>
        <w:keepNext/>
        <w:spacing w:before="40" w:after="40"/>
        <w:jc w:val="center"/>
      </w:pPr>
      <w:r>
        <w:drawing>
          <wp:inline xmlns:a="http://schemas.openxmlformats.org/drawingml/2006/main" xmlns:pic="http://schemas.openxmlformats.org/drawingml/2006/picture">
            <wp:extent cx="5760000" cy="3658927"/>
            <wp:docPr id="11" name="Picture 11"/>
            <wp:cNvGraphicFramePr>
              <a:graphicFrameLocks noChangeAspect="1"/>
            </wp:cNvGraphicFramePr>
            <a:graphic>
              <a:graphicData uri="http://schemas.openxmlformats.org/drawingml/2006/picture">
                <pic:pic>
                  <pic:nvPicPr>
                    <pic:cNvPr id="0" name="DIAG-06_Vista_de_procesos_secuencia_de_solicitud_de_derechos_del_titular.png"/>
                    <pic:cNvPicPr/>
                  </pic:nvPicPr>
                  <pic:blipFill>
                    <a:blip r:embed="rId19"/>
                    <a:stretch>
                      <a:fillRect/>
                    </a:stretch>
                  </pic:blipFill>
                  <pic:spPr>
                    <a:xfrm>
                      <a:off x="0" y="0"/>
                      <a:ext cx="5760000" cy="3658927"/>
                    </a:xfrm>
                    <a:prstGeom prst="rect"/>
                  </pic:spPr>
                </pic:pic>
              </a:graphicData>
            </a:graphic>
          </wp:inline>
        </w:drawing>
      </w:r>
    </w:p>
    <w:p>
      <w:pPr>
        <w:spacing w:before="60" w:after="160" w:line="252" w:lineRule="auto"/>
      </w:pPr>
      <w:r>
        <w:rPr>
          <w:i/>
          <w:iCs/>
          <w:sz w:val="18"/>
          <w:szCs w:val="18"/>
        </w:rPr>
        <w:t xml:space="preserve">Nota. </w:t>
      </w:r>
      <w:r>
        <w:rPr>
          <w:sz w:val="18"/>
          <w:szCs w:val="18"/>
        </w:rPr>
        <w:t>Ejercicio de derechos desde el módulo «Mis datos»: la solicitud recibe folio y fecha límite de 30 días corridos; el responsable de cumplimiento la resuelve y todo queda trazado en la auditoría. Elaboración propia con PlantUML.</w:t>
      </w:r>
    </w:p>
    <w:p>
      <w:pPr>
        <w:pStyle w:val="Ttulo2"/>
        <w:keepNext/>
        <w:spacing w:before="220" w:after="100"/>
      </w:pPr>
      <w:r>
        <w:rPr>
          <w:b/>
          <w:bCs/>
          <w:color w:val="2E6B7E"/>
          <w:sz w:val="22"/>
          <w:szCs w:val="22"/>
        </w:rPr>
        <w:t>6.2 Diagramas de actividades</w:t>
      </w:r>
    </w:p>
    <w:p>
      <w:pPr>
        <w:keepNext/>
        <w:spacing w:before="160" w:after="0"/>
      </w:pPr>
      <w:r>
        <w:rPr>
          <w:b/>
          <w:bCs/>
          <w:sz w:val="20"/>
          <w:szCs w:val="20"/>
        </w:rPr>
        <w:t>Figura 12</w:t>
      </w:r>
    </w:p>
    <w:p>
      <w:pPr>
        <w:keepNext/>
        <w:spacing w:before="0" w:after="80"/>
      </w:pPr>
      <w:r>
        <w:rPr>
          <w:i/>
          <w:iCs/>
          <w:sz w:val="20"/>
          <w:szCs w:val="20"/>
        </w:rPr>
        <w:t>DIAG-07 — Diagrama de actividades: proceso de reserva con abono</w:t>
      </w:r>
    </w:p>
    <w:p>
      <w:pPr>
        <w:keepNext/>
        <w:spacing w:before="40" w:after="40"/>
        <w:jc w:val="center"/>
      </w:pPr>
      <w:r>
        <w:drawing>
          <wp:inline xmlns:a="http://schemas.openxmlformats.org/drawingml/2006/main" xmlns:pic="http://schemas.openxmlformats.org/drawingml/2006/picture">
            <wp:extent cx="4019827" cy="6119999"/>
            <wp:docPr id="12" name="Picture 12"/>
            <wp:cNvGraphicFramePr>
              <a:graphicFrameLocks noChangeAspect="1"/>
            </wp:cNvGraphicFramePr>
            <a:graphic>
              <a:graphicData uri="http://schemas.openxmlformats.org/drawingml/2006/picture">
                <pic:pic>
                  <pic:nvPicPr>
                    <pic:cNvPr id="0" name="DIAG-07_Diagrama_de_actividades_proceso_de_reserva_con_abono.png"/>
                    <pic:cNvPicPr/>
                  </pic:nvPicPr>
                  <pic:blipFill>
                    <a:blip r:embed="rId20"/>
                    <a:stretch>
                      <a:fillRect/>
                    </a:stretch>
                  </pic:blipFill>
                  <pic:spPr>
                    <a:xfrm>
                      <a:off x="0" y="0"/>
                      <a:ext cx="4019827" cy="6119999"/>
                    </a:xfrm>
                    <a:prstGeom prst="rect"/>
                  </pic:spPr>
                </pic:pic>
              </a:graphicData>
            </a:graphic>
          </wp:inline>
        </w:drawing>
      </w:r>
    </w:p>
    <w:p>
      <w:pPr>
        <w:spacing w:before="60" w:after="160" w:line="252" w:lineRule="auto"/>
      </w:pPr>
      <w:r>
        <w:rPr>
          <w:i/>
          <w:iCs/>
          <w:sz w:val="18"/>
          <w:szCs w:val="18"/>
        </w:rPr>
        <w:t xml:space="preserve">Nota. </w:t>
      </w:r>
      <w:r>
        <w:rPr>
          <w:sz w:val="18"/>
          <w:szCs w:val="18"/>
        </w:rPr>
        <w:t>Proceso completo desde la selección del servicio hasta la confirmación, incluyendo expiración del cupo a los 15 minutos si el abono no se autoriza. Elaboración propia con PlantUML.</w:t>
      </w:r>
    </w:p>
    <w:p>
      <w:pPr>
        <w:keepNext/>
        <w:spacing w:before="160" w:after="0"/>
      </w:pPr>
      <w:r>
        <w:rPr>
          <w:b/>
          <w:bCs/>
          <w:sz w:val="20"/>
          <w:szCs w:val="20"/>
        </w:rPr>
        <w:t>Figura 13</w:t>
      </w:r>
    </w:p>
    <w:p>
      <w:pPr>
        <w:keepNext/>
        <w:spacing w:before="0" w:after="80"/>
      </w:pPr>
      <w:r>
        <w:rPr>
          <w:i/>
          <w:iCs/>
          <w:sz w:val="20"/>
          <w:szCs w:val="20"/>
        </w:rPr>
        <w:t>DIAG-08 — Diagrama de actividades: atención presencial</w:t>
      </w:r>
    </w:p>
    <w:p>
      <w:pPr>
        <w:keepNext/>
        <w:spacing w:before="40" w:after="40"/>
        <w:jc w:val="center"/>
      </w:pPr>
      <w:r>
        <w:drawing>
          <wp:inline xmlns:a="http://schemas.openxmlformats.org/drawingml/2006/main" xmlns:pic="http://schemas.openxmlformats.org/drawingml/2006/picture">
            <wp:extent cx="4320000" cy="2910096"/>
            <wp:docPr id="13" name="Picture 13"/>
            <wp:cNvGraphicFramePr>
              <a:graphicFrameLocks noChangeAspect="1"/>
            </wp:cNvGraphicFramePr>
            <a:graphic>
              <a:graphicData uri="http://schemas.openxmlformats.org/drawingml/2006/picture">
                <pic:pic>
                  <pic:nvPicPr>
                    <pic:cNvPr id="0" name="DIAG-08_Diagrama_de_actividades_atencion_presencial.png"/>
                    <pic:cNvPicPr/>
                  </pic:nvPicPr>
                  <pic:blipFill>
                    <a:blip r:embed="rId21"/>
                    <a:stretch>
                      <a:fillRect/>
                    </a:stretch>
                  </pic:blipFill>
                  <pic:spPr>
                    <a:xfrm>
                      <a:off x="0" y="0"/>
                      <a:ext cx="4320000" cy="2910096"/>
                    </a:xfrm>
                    <a:prstGeom prst="rect"/>
                  </pic:spPr>
                </pic:pic>
              </a:graphicData>
            </a:graphic>
          </wp:inline>
        </w:drawing>
      </w:r>
    </w:p>
    <w:p>
      <w:pPr>
        <w:spacing w:before="60" w:after="160" w:line="252" w:lineRule="auto"/>
      </w:pPr>
      <w:r>
        <w:rPr>
          <w:i/>
          <w:iCs/>
          <w:sz w:val="18"/>
          <w:szCs w:val="18"/>
        </w:rPr>
        <w:t xml:space="preserve">Nota. </w:t>
      </w:r>
      <w:r>
        <w:rPr>
          <w:sz w:val="18"/>
          <w:szCs w:val="18"/>
        </w:rPr>
        <w:t>Atención en el local con carriles por responsable. El administrador de sucursal (cajero/a) confirma el servicio, inicia y registra la atención; el barbero solo presta el servicio. Ambos caminos (reserva y orden de llegada) terminan en el registro digital que reemplaza la planilla Excel. Elaboración propia con PlantUML.</w:t>
      </w:r>
    </w:p>
    <w:p>
      <w:pPr>
        <w:keepNext/>
        <w:spacing w:before="160" w:after="0"/>
      </w:pPr>
      <w:r>
        <w:rPr>
          <w:b/>
          <w:bCs/>
          <w:sz w:val="20"/>
          <w:szCs w:val="20"/>
        </w:rPr>
        <w:t>Figura 14</w:t>
      </w:r>
    </w:p>
    <w:p>
      <w:pPr>
        <w:keepNext/>
        <w:spacing w:before="0" w:after="80"/>
      </w:pPr>
      <w:r>
        <w:rPr>
          <w:i/>
          <w:iCs/>
          <w:sz w:val="20"/>
          <w:szCs w:val="20"/>
        </w:rPr>
        <w:t>DIAG-09 — Diagrama de actividades: cancelación y devolución</w:t>
      </w:r>
    </w:p>
    <w:p>
      <w:pPr>
        <w:keepNext/>
        <w:spacing w:before="40" w:after="40"/>
        <w:jc w:val="center"/>
      </w:pPr>
      <w:r>
        <w:drawing>
          <wp:inline xmlns:a="http://schemas.openxmlformats.org/drawingml/2006/main" xmlns:pic="http://schemas.openxmlformats.org/drawingml/2006/picture">
            <wp:extent cx="4320000" cy="2487012"/>
            <wp:docPr id="14" name="Picture 14"/>
            <wp:cNvGraphicFramePr>
              <a:graphicFrameLocks noChangeAspect="1"/>
            </wp:cNvGraphicFramePr>
            <a:graphic>
              <a:graphicData uri="http://schemas.openxmlformats.org/drawingml/2006/picture">
                <pic:pic>
                  <pic:nvPicPr>
                    <pic:cNvPr id="0" name="DIAG-09_Diagrama_de_actividades_cancelacion_y_devolucion.png"/>
                    <pic:cNvPicPr/>
                  </pic:nvPicPr>
                  <pic:blipFill>
                    <a:blip r:embed="rId22"/>
                    <a:stretch>
                      <a:fillRect/>
                    </a:stretch>
                  </pic:blipFill>
                  <pic:spPr>
                    <a:xfrm>
                      <a:off x="0" y="0"/>
                      <a:ext cx="4320000" cy="2487012"/>
                    </a:xfrm>
                    <a:prstGeom prst="rect"/>
                  </pic:spPr>
                </pic:pic>
              </a:graphicData>
            </a:graphic>
          </wp:inline>
        </w:drawing>
      </w:r>
    </w:p>
    <w:p>
      <w:pPr>
        <w:spacing w:before="60" w:after="160" w:line="252" w:lineRule="auto"/>
      </w:pPr>
      <w:r>
        <w:rPr>
          <w:i/>
          <w:iCs/>
          <w:sz w:val="18"/>
          <w:szCs w:val="18"/>
        </w:rPr>
        <w:t xml:space="preserve">Nota. </w:t>
      </w:r>
      <w:r>
        <w:rPr>
          <w:sz w:val="18"/>
          <w:szCs w:val="18"/>
        </w:rPr>
        <w:t>Reglas de tratamiento del abono ante cancelación: saldo a favor con 24 horas o más, pérdida con menos de 24 horas y devolución total si cancela el local. Elaboración propia con PlantUML.</w:t>
      </w:r>
    </w:p>
    <w:p>
      <w:pPr>
        <w:keepNext/>
        <w:spacing w:before="160" w:after="0"/>
      </w:pPr>
      <w:r>
        <w:rPr>
          <w:b/>
          <w:bCs/>
          <w:sz w:val="20"/>
          <w:szCs w:val="20"/>
        </w:rPr>
        <w:t>Figura 15</w:t>
      </w:r>
    </w:p>
    <w:p>
      <w:pPr>
        <w:keepNext/>
        <w:spacing w:before="0" w:after="80"/>
      </w:pPr>
      <w:r>
        <w:rPr>
          <w:i/>
          <w:iCs/>
          <w:sz w:val="20"/>
          <w:szCs w:val="20"/>
        </w:rPr>
        <w:t>DIAG-10 — Diagrama de actividades: flujo del invitado</w:t>
      </w:r>
    </w:p>
    <w:p>
      <w:pPr>
        <w:keepNext/>
        <w:spacing w:before="40" w:after="40"/>
        <w:jc w:val="center"/>
      </w:pPr>
      <w:r>
        <w:drawing>
          <wp:inline xmlns:a="http://schemas.openxmlformats.org/drawingml/2006/main" xmlns:pic="http://schemas.openxmlformats.org/drawingml/2006/picture">
            <wp:extent cx="4320000" cy="6041294"/>
            <wp:docPr id="15" name="Picture 15"/>
            <wp:cNvGraphicFramePr>
              <a:graphicFrameLocks noChangeAspect="1"/>
            </wp:cNvGraphicFramePr>
            <a:graphic>
              <a:graphicData uri="http://schemas.openxmlformats.org/drawingml/2006/picture">
                <pic:pic>
                  <pic:nvPicPr>
                    <pic:cNvPr id="0" name="DIAG-10_Diagrama_de_actividades_flujo_del_invitado.png"/>
                    <pic:cNvPicPr/>
                  </pic:nvPicPr>
                  <pic:blipFill>
                    <a:blip r:embed="rId23"/>
                    <a:stretch>
                      <a:fillRect/>
                    </a:stretch>
                  </pic:blipFill>
                  <pic:spPr>
                    <a:xfrm>
                      <a:off x="0" y="0"/>
                      <a:ext cx="4320000" cy="6041294"/>
                    </a:xfrm>
                    <a:prstGeom prst="rect"/>
                  </pic:spPr>
                </pic:pic>
              </a:graphicData>
            </a:graphic>
          </wp:inline>
        </w:drawing>
      </w:r>
    </w:p>
    <w:p>
      <w:pPr>
        <w:spacing w:before="60" w:after="160" w:line="252" w:lineRule="auto"/>
      </w:pPr>
      <w:r>
        <w:rPr>
          <w:i/>
          <w:iCs/>
          <w:sz w:val="18"/>
          <w:szCs w:val="18"/>
        </w:rPr>
        <w:t xml:space="preserve">Nota. </w:t>
      </w:r>
      <w:r>
        <w:rPr>
          <w:sz w:val="18"/>
          <w:szCs w:val="18"/>
        </w:rPr>
        <w:t>El invitado puede reservar sin cuenta; el pop-up promocional incentiva el registro y el consentimiento promocional es opcional y desmarcado por defecto. Elaboración propia con PlantUML.</w:t>
      </w:r>
    </w:p>
    <w:p>
      <w:pPr>
        <w:keepNext/>
        <w:spacing w:before="160" w:after="0"/>
      </w:pPr>
      <w:r>
        <w:rPr>
          <w:b/>
          <w:bCs/>
          <w:sz w:val="20"/>
          <w:szCs w:val="20"/>
        </w:rPr>
        <w:t>Figura 16</w:t>
      </w:r>
    </w:p>
    <w:p>
      <w:pPr>
        <w:keepNext/>
        <w:spacing w:before="0" w:after="80"/>
      </w:pPr>
      <w:r>
        <w:rPr>
          <w:i/>
          <w:iCs/>
          <w:sz w:val="20"/>
          <w:szCs w:val="20"/>
        </w:rPr>
        <w:t>DIAG-11 — Diagrama de actividades: solicitud de eliminación de datos (supresión)</w:t>
      </w:r>
    </w:p>
    <w:p>
      <w:pPr>
        <w:keepNext/>
        <w:spacing w:before="40" w:after="40"/>
        <w:jc w:val="center"/>
      </w:pPr>
      <w:r>
        <w:drawing>
          <wp:inline xmlns:a="http://schemas.openxmlformats.org/drawingml/2006/main" xmlns:pic="http://schemas.openxmlformats.org/drawingml/2006/picture">
            <wp:extent cx="4320000" cy="5808403"/>
            <wp:docPr id="16" name="Picture 16"/>
            <wp:cNvGraphicFramePr>
              <a:graphicFrameLocks noChangeAspect="1"/>
            </wp:cNvGraphicFramePr>
            <a:graphic>
              <a:graphicData uri="http://schemas.openxmlformats.org/drawingml/2006/picture">
                <pic:pic>
                  <pic:nvPicPr>
                    <pic:cNvPr id="0" name="DIAG-11_Diagrama_de_actividades_solicitud_de_eliminacion_de_datos_supresion.png"/>
                    <pic:cNvPicPr/>
                  </pic:nvPicPr>
                  <pic:blipFill>
                    <a:blip r:embed="rId24"/>
                    <a:stretch>
                      <a:fillRect/>
                    </a:stretch>
                  </pic:blipFill>
                  <pic:spPr>
                    <a:xfrm>
                      <a:off x="0" y="0"/>
                      <a:ext cx="4320000" cy="5808403"/>
                    </a:xfrm>
                    <a:prstGeom prst="rect"/>
                  </pic:spPr>
                </pic:pic>
              </a:graphicData>
            </a:graphic>
          </wp:inline>
        </w:drawing>
      </w:r>
    </w:p>
    <w:p>
      <w:pPr>
        <w:spacing w:before="60" w:after="160" w:line="252" w:lineRule="auto"/>
      </w:pPr>
      <w:r>
        <w:rPr>
          <w:i/>
          <w:iCs/>
          <w:sz w:val="18"/>
          <w:szCs w:val="18"/>
        </w:rPr>
        <w:t xml:space="preserve">Nota. </w:t>
      </w:r>
      <w:r>
        <w:rPr>
          <w:sz w:val="18"/>
          <w:szCs w:val="18"/>
        </w:rPr>
        <w:t>Ejercicio del derecho de supresión: se verifica la identidad, se resuelven citas pendientes, se anonimizan los datos personales y se conservan solo los registros exigidos por ley sin vínculo identificable. Elaboración propia con PlantUML.</w:t>
      </w:r>
    </w:p>
    <w:p>
      <w:pPr>
        <w:pStyle w:val="Ttulo2"/>
        <w:keepNext/>
        <w:spacing w:before="220" w:after="100"/>
      </w:pPr>
      <w:r>
        <w:rPr>
          <w:b/>
          <w:bCs/>
          <w:color w:val="2E6B7E"/>
          <w:sz w:val="22"/>
          <w:szCs w:val="22"/>
        </w:rPr>
        <w:t>6.3 Diagramas de estado</w:t>
      </w:r>
    </w:p>
    <w:p>
      <w:pPr>
        <w:keepNext/>
        <w:spacing w:before="160" w:after="0"/>
      </w:pPr>
      <w:r>
        <w:rPr>
          <w:b/>
          <w:bCs/>
          <w:sz w:val="20"/>
          <w:szCs w:val="20"/>
        </w:rPr>
        <w:t>Figura 17</w:t>
      </w:r>
    </w:p>
    <w:p>
      <w:pPr>
        <w:keepNext/>
        <w:spacing w:before="0" w:after="80"/>
      </w:pPr>
      <w:r>
        <w:rPr>
          <w:i/>
          <w:iCs/>
          <w:sz w:val="20"/>
          <w:szCs w:val="20"/>
        </w:rPr>
        <w:t>DIAG-23 — Diagrama de estados: Reserva</w:t>
      </w:r>
    </w:p>
    <w:p>
      <w:pPr>
        <w:keepNext/>
        <w:spacing w:before="40" w:after="40"/>
        <w:jc w:val="center"/>
      </w:pPr>
      <w:r>
        <w:drawing>
          <wp:inline xmlns:a="http://schemas.openxmlformats.org/drawingml/2006/main" xmlns:pic="http://schemas.openxmlformats.org/drawingml/2006/picture">
            <wp:extent cx="4320000" cy="3513857"/>
            <wp:docPr id="17" name="Picture 17"/>
            <wp:cNvGraphicFramePr>
              <a:graphicFrameLocks noChangeAspect="1"/>
            </wp:cNvGraphicFramePr>
            <a:graphic>
              <a:graphicData uri="http://schemas.openxmlformats.org/drawingml/2006/picture">
                <pic:pic>
                  <pic:nvPicPr>
                    <pic:cNvPr id="0" name="DIAG-23_Diagrama_de_estados_Reserva.png"/>
                    <pic:cNvPicPr/>
                  </pic:nvPicPr>
                  <pic:blipFill>
                    <a:blip r:embed="rId25"/>
                    <a:stretch>
                      <a:fillRect/>
                    </a:stretch>
                  </pic:blipFill>
                  <pic:spPr>
                    <a:xfrm>
                      <a:off x="0" y="0"/>
                      <a:ext cx="4320000" cy="3513857"/>
                    </a:xfrm>
                    <a:prstGeom prst="rect"/>
                  </pic:spPr>
                </pic:pic>
              </a:graphicData>
            </a:graphic>
          </wp:inline>
        </w:drawing>
      </w:r>
    </w:p>
    <w:p>
      <w:pPr>
        <w:spacing w:before="60" w:after="160" w:line="252" w:lineRule="auto"/>
      </w:pPr>
      <w:r>
        <w:rPr>
          <w:i/>
          <w:iCs/>
          <w:sz w:val="18"/>
          <w:szCs w:val="18"/>
        </w:rPr>
        <w:t xml:space="preserve">Nota. </w:t>
      </w:r>
      <w:r>
        <w:rPr>
          <w:sz w:val="18"/>
          <w:szCs w:val="18"/>
        </w:rPr>
        <w:t>Ciclo de vida de la reserva. Solo una reserva con abono autorizado pasa a CONFIRMADA; la reprogramación mantiene el estado y consume uno de los dos reagendamientos permitidos. Elaboración propia con PlantUML.</w:t>
      </w:r>
    </w:p>
    <w:p>
      <w:pPr>
        <w:keepNext/>
        <w:spacing w:before="160" w:after="0"/>
      </w:pPr>
      <w:r>
        <w:rPr>
          <w:b/>
          <w:bCs/>
          <w:sz w:val="20"/>
          <w:szCs w:val="20"/>
        </w:rPr>
        <w:t>Figura 18</w:t>
      </w:r>
    </w:p>
    <w:p>
      <w:pPr>
        <w:keepNext/>
        <w:spacing w:before="0" w:after="80"/>
      </w:pPr>
      <w:r>
        <w:rPr>
          <w:i/>
          <w:iCs/>
          <w:sz w:val="20"/>
          <w:szCs w:val="20"/>
        </w:rPr>
        <w:t>DIAG-24 — Diagrama de estados: Pago (abono)</w:t>
      </w:r>
    </w:p>
    <w:p>
      <w:pPr>
        <w:keepNext/>
        <w:spacing w:before="40" w:after="40"/>
        <w:jc w:val="center"/>
      </w:pPr>
      <w:r>
        <w:drawing>
          <wp:inline xmlns:a="http://schemas.openxmlformats.org/drawingml/2006/main" xmlns:pic="http://schemas.openxmlformats.org/drawingml/2006/picture">
            <wp:extent cx="4320000" cy="3764986"/>
            <wp:docPr id="18" name="Picture 18"/>
            <wp:cNvGraphicFramePr>
              <a:graphicFrameLocks noChangeAspect="1"/>
            </wp:cNvGraphicFramePr>
            <a:graphic>
              <a:graphicData uri="http://schemas.openxmlformats.org/drawingml/2006/picture">
                <pic:pic>
                  <pic:nvPicPr>
                    <pic:cNvPr id="0" name="DIAG-24_Diagrama_de_estados_Pago_abono.png"/>
                    <pic:cNvPicPr/>
                  </pic:nvPicPr>
                  <pic:blipFill>
                    <a:blip r:embed="rId26"/>
                    <a:stretch>
                      <a:fillRect/>
                    </a:stretch>
                  </pic:blipFill>
                  <pic:spPr>
                    <a:xfrm>
                      <a:off x="0" y="0"/>
                      <a:ext cx="4320000" cy="3764986"/>
                    </a:xfrm>
                    <a:prstGeom prst="rect"/>
                  </pic:spPr>
                </pic:pic>
              </a:graphicData>
            </a:graphic>
          </wp:inline>
        </w:drawing>
      </w:r>
    </w:p>
    <w:p>
      <w:pPr>
        <w:spacing w:before="60" w:after="160" w:line="252" w:lineRule="auto"/>
      </w:pPr>
      <w:r>
        <w:rPr>
          <w:i/>
          <w:iCs/>
          <w:sz w:val="18"/>
          <w:szCs w:val="18"/>
        </w:rPr>
        <w:t xml:space="preserve">Nota. </w:t>
      </w:r>
      <w:r>
        <w:rPr>
          <w:sz w:val="18"/>
          <w:szCs w:val="18"/>
        </w:rPr>
        <w:t>Estados del abono de $3.000. El abono autorizado se aplica al valor del servicio al atender, se retiene ante no-show o cancelación tardía, o se reembolsa si cancela el local. Elaboración propia con PlantUML.</w:t>
      </w:r>
    </w:p>
    <w:p>
      <w:pPr>
        <w:keepNext/>
        <w:spacing w:before="160" w:after="0"/>
      </w:pPr>
      <w:r>
        <w:rPr>
          <w:b/>
          <w:bCs/>
          <w:sz w:val="20"/>
          <w:szCs w:val="20"/>
        </w:rPr>
        <w:t>Figura 19</w:t>
      </w:r>
    </w:p>
    <w:p>
      <w:pPr>
        <w:keepNext/>
        <w:spacing w:before="0" w:after="80"/>
      </w:pPr>
      <w:r>
        <w:rPr>
          <w:i/>
          <w:iCs/>
          <w:sz w:val="20"/>
          <w:szCs w:val="20"/>
        </w:rPr>
        <w:t>DIAG-25 — Diagrama de estados: Turno de orden de llegada</w:t>
      </w:r>
    </w:p>
    <w:p>
      <w:pPr>
        <w:keepNext/>
        <w:spacing w:before="40" w:after="40"/>
        <w:jc w:val="center"/>
      </w:pPr>
      <w:r>
        <w:drawing>
          <wp:inline xmlns:a="http://schemas.openxmlformats.org/drawingml/2006/main" xmlns:pic="http://schemas.openxmlformats.org/drawingml/2006/picture">
            <wp:extent cx="3907149" cy="5399999"/>
            <wp:docPr id="19" name="Picture 19"/>
            <wp:cNvGraphicFramePr>
              <a:graphicFrameLocks noChangeAspect="1"/>
            </wp:cNvGraphicFramePr>
            <a:graphic>
              <a:graphicData uri="http://schemas.openxmlformats.org/drawingml/2006/picture">
                <pic:pic>
                  <pic:nvPicPr>
                    <pic:cNvPr id="0" name="DIAG-25_Diagrama_de_estados_Turno_de_orden_de_llegada.png"/>
                    <pic:cNvPicPr/>
                  </pic:nvPicPr>
                  <pic:blipFill>
                    <a:blip r:embed="rId27"/>
                    <a:stretch>
                      <a:fillRect/>
                    </a:stretch>
                  </pic:blipFill>
                  <pic:spPr>
                    <a:xfrm>
                      <a:off x="0" y="0"/>
                      <a:ext cx="3907149" cy="5399999"/>
                    </a:xfrm>
                    <a:prstGeom prst="rect"/>
                  </pic:spPr>
                </pic:pic>
              </a:graphicData>
            </a:graphic>
          </wp:inline>
        </w:drawing>
      </w:r>
    </w:p>
    <w:p>
      <w:pPr>
        <w:spacing w:before="60" w:after="160" w:line="252" w:lineRule="auto"/>
      </w:pPr>
      <w:r>
        <w:rPr>
          <w:i/>
          <w:iCs/>
          <w:sz w:val="18"/>
          <w:szCs w:val="18"/>
        </w:rPr>
        <w:t xml:space="preserve">Nota. </w:t>
      </w:r>
      <w:r>
        <w:rPr>
          <w:sz w:val="18"/>
          <w:szCs w:val="18"/>
        </w:rPr>
        <w:t>Estados del turno presencial. El estado ABANDONO permite medir con datos reales la tasa de clientes que se van sin atención. Elaboración propia con PlantUML.</w:t>
      </w:r>
    </w:p>
    <w:p>
      <w:pPr>
        <w:keepNext/>
        <w:spacing w:before="160" w:after="0"/>
      </w:pPr>
      <w:r>
        <w:rPr>
          <w:b/>
          <w:bCs/>
          <w:sz w:val="20"/>
          <w:szCs w:val="20"/>
        </w:rPr>
        <w:t>Figura 20</w:t>
      </w:r>
    </w:p>
    <w:p>
      <w:pPr>
        <w:keepNext/>
        <w:spacing w:before="0" w:after="80"/>
      </w:pPr>
      <w:r>
        <w:rPr>
          <w:i/>
          <w:iCs/>
          <w:sz w:val="20"/>
          <w:szCs w:val="20"/>
        </w:rPr>
        <w:t>DIAG-26 — Diagrama de estados: Solicitud de derechos del titular</w:t>
      </w:r>
    </w:p>
    <w:p>
      <w:pPr>
        <w:keepNext/>
        <w:spacing w:before="40" w:after="40"/>
        <w:jc w:val="center"/>
      </w:pPr>
      <w:r>
        <w:drawing>
          <wp:inline xmlns:a="http://schemas.openxmlformats.org/drawingml/2006/main" xmlns:pic="http://schemas.openxmlformats.org/drawingml/2006/picture">
            <wp:extent cx="3916626" cy="5399999"/>
            <wp:docPr id="20" name="Picture 20"/>
            <wp:cNvGraphicFramePr>
              <a:graphicFrameLocks noChangeAspect="1"/>
            </wp:cNvGraphicFramePr>
            <a:graphic>
              <a:graphicData uri="http://schemas.openxmlformats.org/drawingml/2006/picture">
                <pic:pic>
                  <pic:nvPicPr>
                    <pic:cNvPr id="0" name="DIAG-26_Diagrama_de_estados_Solicitud_de_derechos_del_titular.png"/>
                    <pic:cNvPicPr/>
                  </pic:nvPicPr>
                  <pic:blipFill>
                    <a:blip r:embed="rId28"/>
                    <a:stretch>
                      <a:fillRect/>
                    </a:stretch>
                  </pic:blipFill>
                  <pic:spPr>
                    <a:xfrm>
                      <a:off x="0" y="0"/>
                      <a:ext cx="3916626" cy="5399999"/>
                    </a:xfrm>
                    <a:prstGeom prst="rect"/>
                  </pic:spPr>
                </pic:pic>
              </a:graphicData>
            </a:graphic>
          </wp:inline>
        </w:drawing>
      </w:r>
    </w:p>
    <w:p>
      <w:pPr>
        <w:spacing w:before="60" w:after="160" w:line="252" w:lineRule="auto"/>
      </w:pPr>
      <w:r>
        <w:rPr>
          <w:i/>
          <w:iCs/>
          <w:sz w:val="18"/>
          <w:szCs w:val="18"/>
        </w:rPr>
        <w:t xml:space="preserve">Nota. </w:t>
      </w:r>
      <w:r>
        <w:rPr>
          <w:sz w:val="18"/>
          <w:szCs w:val="18"/>
        </w:rPr>
        <w:t>Ciclo de una solicitud de acceso, rectificación, supresión, oposición, portabilidad o bloqueo, con el plazo legal de 30 días corridos y una prórroga única. Elaboración propia con PlantUML.</w:t>
      </w:r>
    </w:p>
    <w:p>
      <w:pPr>
        <w:pStyle w:val="Ttulo1"/>
        <w:keepNext/>
        <w:spacing w:before="300" w:after="140"/>
      </w:pPr>
      <w:r>
        <w:rPr>
          <w:b/>
          <w:bCs/>
          <w:color w:val="1F4E5F"/>
          <w:sz w:val="26"/>
          <w:szCs w:val="26"/>
        </w:rPr>
        <w:t>7. Vista de desarrollo</w:t>
      </w:r>
    </w:p>
    <w:p>
      <w:pPr>
        <w:keepNext/>
        <w:spacing w:before="160" w:after="0"/>
      </w:pPr>
      <w:r>
        <w:rPr>
          <w:b/>
          <w:bCs/>
          <w:sz w:val="20"/>
          <w:szCs w:val="20"/>
        </w:rPr>
        <w:t>Figura 21</w:t>
      </w:r>
    </w:p>
    <w:p>
      <w:pPr>
        <w:keepNext/>
        <w:spacing w:before="0" w:after="80"/>
      </w:pPr>
      <w:r>
        <w:rPr>
          <w:i/>
          <w:iCs/>
          <w:sz w:val="20"/>
          <w:szCs w:val="20"/>
        </w:rPr>
        <w:t>DIAG-12 — Vista de desarrollo: componentes y módulos</w:t>
      </w:r>
    </w:p>
    <w:p>
      <w:pPr>
        <w:keepNext/>
        <w:spacing w:before="40" w:after="40"/>
        <w:jc w:val="center"/>
      </w:pPr>
      <w:r>
        <w:drawing>
          <wp:inline xmlns:a="http://schemas.openxmlformats.org/drawingml/2006/main" xmlns:pic="http://schemas.openxmlformats.org/drawingml/2006/picture">
            <wp:extent cx="5940000" cy="3897285"/>
            <wp:docPr id="21" name="Picture 21"/>
            <wp:cNvGraphicFramePr>
              <a:graphicFrameLocks noChangeAspect="1"/>
            </wp:cNvGraphicFramePr>
            <a:graphic>
              <a:graphicData uri="http://schemas.openxmlformats.org/drawingml/2006/picture">
                <pic:pic>
                  <pic:nvPicPr>
                    <pic:cNvPr id="0" name="DIAG-12_Vista_de_desarrollo_componentes_y_modulos.png"/>
                    <pic:cNvPicPr/>
                  </pic:nvPicPr>
                  <pic:blipFill>
                    <a:blip r:embed="rId29"/>
                    <a:stretch>
                      <a:fillRect/>
                    </a:stretch>
                  </pic:blipFill>
                  <pic:spPr>
                    <a:xfrm>
                      <a:off x="0" y="0"/>
                      <a:ext cx="5940000" cy="3897285"/>
                    </a:xfrm>
                    <a:prstGeom prst="rect"/>
                  </pic:spPr>
                </pic:pic>
              </a:graphicData>
            </a:graphic>
          </wp:inline>
        </w:drawing>
      </w:r>
    </w:p>
    <w:p>
      <w:pPr>
        <w:spacing w:before="60" w:after="160" w:line="252" w:lineRule="auto"/>
      </w:pPr>
      <w:r>
        <w:rPr>
          <w:i/>
          <w:iCs/>
          <w:sz w:val="18"/>
          <w:szCs w:val="18"/>
        </w:rPr>
        <w:t xml:space="preserve">Nota. </w:t>
      </w:r>
      <w:r>
        <w:rPr>
          <w:sz w:val="18"/>
          <w:szCs w:val="18"/>
        </w:rPr>
        <w:t>Componentes de software y sus interfaces: frontend web, app móvil, API backend con sus módulos (incluido el módulo de privacidad «Mis datos»), base de datos y servicios externos de pago y notificaciones. Elaboración propia con PlantUML. Notación basada en Kruchten (1995).</w:t>
      </w:r>
    </w:p>
    <w:p>
      <w:pPr>
        <w:keepNext/>
        <w:spacing w:before="160" w:after="0"/>
      </w:pPr>
      <w:r>
        <w:rPr>
          <w:b/>
          <w:bCs/>
          <w:sz w:val="20"/>
          <w:szCs w:val="20"/>
        </w:rPr>
        <w:t>Tabla 6</w:t>
      </w:r>
    </w:p>
    <w:p>
      <w:pPr>
        <w:keepNext/>
        <w:spacing w:before="0" w:after="80"/>
      </w:pPr>
      <w:r>
        <w:rPr>
          <w:i/>
          <w:iCs/>
          <w:sz w:val="20"/>
          <w:szCs w:val="20"/>
        </w:rPr>
        <w:t>Vista de desarrollo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3088"/>
        <w:gridCol w:w="4213"/>
      </w:tblGrid>
      <w:tr>
        <w:trPr>
          <w:tblHeader/>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Componente</w:t>
            </w:r>
          </w:p>
        </w:tc>
        <w:tc>
          <w:tcPr>
            <w:tcW w:w="3088"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Tecnología</w:t>
            </w:r>
          </w:p>
        </w:tc>
        <w:tc>
          <w:tcPr>
            <w:tcW w:w="4213"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Responsabilidad</w:t>
            </w:r>
          </w:p>
        </w:tc>
      </w:tr>
      <w:tr>
        <w:trPr>
          <w:cantSplit/>
        </w:trPr>
        <w:tc>
          <w:tcPr>
            <w:tcW w:w="2059" w:type="dxa"/>
            <w:tcMar>
              <w:top w:w="70" w:type="dxa"/>
              <w:left w:w="90" w:type="dxa"/>
              <w:bottom w:w="70" w:type="dxa"/>
              <w:right w:w="90" w:type="dxa"/>
            </w:tcMar>
            <w:vAlign w:val="center"/>
          </w:tcPr>
          <w:p>
            <w:pPr>
              <w:spacing w:before="0" w:after="0" w:line="240" w:lineRule="auto"/>
            </w:pPr>
            <w:r>
              <w:rPr>
                <w:sz w:val="16"/>
                <w:szCs w:val="16"/>
              </w:rPr>
              <w:t>Sitio web</w:t>
            </w:r>
          </w:p>
        </w:tc>
        <w:tc>
          <w:tcPr>
            <w:tcW w:w="3088" w:type="dxa"/>
            <w:tcMar>
              <w:top w:w="70" w:type="dxa"/>
              <w:left w:w="90" w:type="dxa"/>
              <w:bottom w:w="70" w:type="dxa"/>
              <w:right w:w="90" w:type="dxa"/>
            </w:tcMar>
            <w:vAlign w:val="center"/>
          </w:tcPr>
          <w:p>
            <w:pPr>
              <w:spacing w:before="0" w:after="0" w:line="240" w:lineRule="auto"/>
            </w:pPr>
            <w:r>
              <w:rPr>
                <w:sz w:val="16"/>
                <w:szCs w:val="16"/>
              </w:rPr>
              <w:t>React, HTTPS</w:t>
            </w:r>
          </w:p>
        </w:tc>
        <w:tc>
          <w:tcPr>
            <w:tcW w:w="4213" w:type="dxa"/>
            <w:tcMar>
              <w:top w:w="70" w:type="dxa"/>
              <w:left w:w="90" w:type="dxa"/>
              <w:bottom w:w="70" w:type="dxa"/>
              <w:right w:w="90" w:type="dxa"/>
            </w:tcMar>
            <w:vAlign w:val="center"/>
          </w:tcPr>
          <w:p>
            <w:pPr>
              <w:spacing w:before="0" w:after="0" w:line="240" w:lineRule="auto"/>
            </w:pPr>
            <w:r>
              <w:rPr>
                <w:sz w:val="16"/>
                <w:szCs w:val="16"/>
              </w:rPr>
              <w:t>Interfaz de clientes, invitados y personal; «Mis datos»</w:t>
            </w:r>
          </w:p>
        </w:tc>
      </w:tr>
      <w:tr>
        <w:trPr>
          <w:cantSplit/>
        </w:trPr>
        <w:tc>
          <w:tcPr>
            <w:tcW w:w="2059" w:type="dxa"/>
            <w:shd w:val="clear" w:color="auto" w:fill="F2F6F7"/>
            <w:tcMar>
              <w:top w:w="70" w:type="dxa"/>
              <w:left w:w="90" w:type="dxa"/>
              <w:bottom w:w="70" w:type="dxa"/>
              <w:right w:w="90" w:type="dxa"/>
            </w:tcMar>
            <w:vAlign w:val="center"/>
          </w:tcPr>
          <w:p>
            <w:pPr>
              <w:spacing w:before="0" w:after="0" w:line="240" w:lineRule="auto"/>
            </w:pPr>
            <w:r>
              <w:rPr>
                <w:sz w:val="16"/>
                <w:szCs w:val="16"/>
              </w:rPr>
              <w:t>App Android</w:t>
            </w:r>
          </w:p>
        </w:tc>
        <w:tc>
          <w:tcPr>
            <w:tcW w:w="3088" w:type="dxa"/>
            <w:shd w:val="clear" w:color="auto" w:fill="F2F6F7"/>
            <w:tcMar>
              <w:top w:w="70" w:type="dxa"/>
              <w:left w:w="90" w:type="dxa"/>
              <w:bottom w:w="70" w:type="dxa"/>
              <w:right w:w="90" w:type="dxa"/>
            </w:tcMar>
            <w:vAlign w:val="center"/>
          </w:tcPr>
          <w:p>
            <w:pPr>
              <w:spacing w:before="0" w:after="0" w:line="240" w:lineRule="auto"/>
            </w:pPr>
            <w:r>
              <w:rPr>
                <w:sz w:val="16"/>
                <w:szCs w:val="16"/>
              </w:rPr>
              <w:t>Kotlin, Jetpack Compose, MVVM, Room</w:t>
            </w:r>
          </w:p>
        </w:tc>
        <w:tc>
          <w:tcPr>
            <w:tcW w:w="4213" w:type="dxa"/>
            <w:shd w:val="clear" w:color="auto" w:fill="F2F6F7"/>
            <w:tcMar>
              <w:top w:w="70" w:type="dxa"/>
              <w:left w:w="90" w:type="dxa"/>
              <w:bottom w:w="70" w:type="dxa"/>
              <w:right w:w="90" w:type="dxa"/>
            </w:tcMar>
            <w:vAlign w:val="center"/>
          </w:tcPr>
          <w:p>
            <w:pPr>
              <w:spacing w:before="0" w:after="0" w:line="240" w:lineRule="auto"/>
            </w:pPr>
            <w:r>
              <w:rPr>
                <w:sz w:val="16"/>
                <w:szCs w:val="16"/>
              </w:rPr>
              <w:t>Interfaz móvil con caché sin conexión</w:t>
            </w:r>
          </w:p>
        </w:tc>
      </w:tr>
      <w:tr>
        <w:trPr>
          <w:cantSplit/>
        </w:trPr>
        <w:tc>
          <w:tcPr>
            <w:tcW w:w="2059" w:type="dxa"/>
            <w:tcMar>
              <w:top w:w="70" w:type="dxa"/>
              <w:left w:w="90" w:type="dxa"/>
              <w:bottom w:w="70" w:type="dxa"/>
              <w:right w:w="90" w:type="dxa"/>
            </w:tcMar>
            <w:vAlign w:val="center"/>
          </w:tcPr>
          <w:p>
            <w:pPr>
              <w:spacing w:before="0" w:after="0" w:line="240" w:lineRule="auto"/>
            </w:pPr>
            <w:r>
              <w:rPr>
                <w:sz w:val="16"/>
                <w:szCs w:val="16"/>
              </w:rPr>
              <w:t>API REST</w:t>
            </w:r>
          </w:p>
        </w:tc>
        <w:tc>
          <w:tcPr>
            <w:tcW w:w="3088" w:type="dxa"/>
            <w:tcMar>
              <w:top w:w="70" w:type="dxa"/>
              <w:left w:w="90" w:type="dxa"/>
              <w:bottom w:w="70" w:type="dxa"/>
              <w:right w:w="90" w:type="dxa"/>
            </w:tcMar>
            <w:vAlign w:val="center"/>
          </w:tcPr>
          <w:p>
            <w:pPr>
              <w:spacing w:before="0" w:after="0" w:line="240" w:lineRule="auto"/>
            </w:pPr>
            <w:r>
              <w:rPr>
                <w:sz w:val="16"/>
                <w:szCs w:val="16"/>
              </w:rPr>
              <w:t>Servicio sin estado (JSON, tokens)</w:t>
            </w:r>
          </w:p>
        </w:tc>
        <w:tc>
          <w:tcPr>
            <w:tcW w:w="4213" w:type="dxa"/>
            <w:tcMar>
              <w:top w:w="70" w:type="dxa"/>
              <w:left w:w="90" w:type="dxa"/>
              <w:bottom w:w="70" w:type="dxa"/>
              <w:right w:w="90" w:type="dxa"/>
            </w:tcMar>
            <w:vAlign w:val="center"/>
          </w:tcPr>
          <w:p>
            <w:pPr>
              <w:spacing w:before="0" w:after="0" w:line="240" w:lineRule="auto"/>
            </w:pPr>
            <w:r>
              <w:rPr>
                <w:sz w:val="16"/>
                <w:szCs w:val="16"/>
              </w:rPr>
              <w:t>Reglas de negocio, RBAC, auditoría, integración externa</w:t>
            </w:r>
          </w:p>
        </w:tc>
      </w:tr>
      <w:tr>
        <w:trPr>
          <w:cantSplit/>
        </w:trPr>
        <w:tc>
          <w:tcPr>
            <w:tcW w:w="2059" w:type="dxa"/>
            <w:shd w:val="clear" w:color="auto" w:fill="F2F6F7"/>
            <w:tcMar>
              <w:top w:w="70" w:type="dxa"/>
              <w:left w:w="90" w:type="dxa"/>
              <w:bottom w:w="70" w:type="dxa"/>
              <w:right w:w="90" w:type="dxa"/>
            </w:tcMar>
            <w:vAlign w:val="center"/>
          </w:tcPr>
          <w:p>
            <w:pPr>
              <w:spacing w:before="0" w:after="0" w:line="240" w:lineRule="auto"/>
            </w:pPr>
            <w:r>
              <w:rPr>
                <w:sz w:val="16"/>
                <w:szCs w:val="16"/>
              </w:rPr>
              <w:t>Base de datos</w:t>
            </w:r>
          </w:p>
        </w:tc>
        <w:tc>
          <w:tcPr>
            <w:tcW w:w="3088" w:type="dxa"/>
            <w:shd w:val="clear" w:color="auto" w:fill="F2F6F7"/>
            <w:tcMar>
              <w:top w:w="70" w:type="dxa"/>
              <w:left w:w="90" w:type="dxa"/>
              <w:bottom w:w="70" w:type="dxa"/>
              <w:right w:w="90" w:type="dxa"/>
            </w:tcMar>
            <w:vAlign w:val="center"/>
          </w:tcPr>
          <w:p>
            <w:pPr>
              <w:spacing w:before="0" w:after="0" w:line="240" w:lineRule="auto"/>
            </w:pPr>
            <w:r>
              <w:rPr>
                <w:sz w:val="16"/>
                <w:szCs w:val="16"/>
              </w:rPr>
              <w:t>PostgreSQL 17 en Supabase (btree_gist)</w:t>
            </w:r>
          </w:p>
        </w:tc>
        <w:tc>
          <w:tcPr>
            <w:tcW w:w="4213" w:type="dxa"/>
            <w:shd w:val="clear" w:color="auto" w:fill="F2F6F7"/>
            <w:tcMar>
              <w:top w:w="70" w:type="dxa"/>
              <w:left w:w="90" w:type="dxa"/>
              <w:bottom w:w="70" w:type="dxa"/>
              <w:right w:w="90" w:type="dxa"/>
            </w:tcMar>
            <w:vAlign w:val="center"/>
          </w:tcPr>
          <w:p>
            <w:pPr>
              <w:spacing w:before="0" w:after="0" w:line="240" w:lineRule="auto"/>
            </w:pPr>
            <w:r>
              <w:rPr>
                <w:sz w:val="16"/>
                <w:szCs w:val="16"/>
              </w:rPr>
              <w:t>Persistencia, integridad y reglas declarativas</w:t>
            </w:r>
          </w:p>
        </w:tc>
      </w:tr>
      <w:tr>
        <w:trPr>
          <w:cantSplit/>
        </w:trPr>
        <w:tc>
          <w:tcPr>
            <w:tcW w:w="2059" w:type="dxa"/>
            <w:tcMar>
              <w:top w:w="70" w:type="dxa"/>
              <w:left w:w="90" w:type="dxa"/>
              <w:bottom w:w="70" w:type="dxa"/>
              <w:right w:w="90" w:type="dxa"/>
            </w:tcMar>
            <w:vAlign w:val="center"/>
          </w:tcPr>
          <w:p>
            <w:pPr>
              <w:spacing w:before="0" w:after="0" w:line="240" w:lineRule="auto"/>
            </w:pPr>
            <w:r>
              <w:rPr>
                <w:sz w:val="16"/>
                <w:szCs w:val="16"/>
              </w:rPr>
              <w:t>Pasarela de pago</w:t>
            </w:r>
          </w:p>
        </w:tc>
        <w:tc>
          <w:tcPr>
            <w:tcW w:w="3088" w:type="dxa"/>
            <w:tcMar>
              <w:top w:w="70" w:type="dxa"/>
              <w:left w:w="90" w:type="dxa"/>
              <w:bottom w:w="70" w:type="dxa"/>
              <w:right w:w="90" w:type="dxa"/>
            </w:tcMar>
            <w:vAlign w:val="center"/>
          </w:tcPr>
          <w:p>
            <w:pPr>
              <w:spacing w:before="0" w:after="0" w:line="240" w:lineRule="auto"/>
            </w:pPr>
            <w:r>
              <w:rPr>
                <w:sz w:val="16"/>
                <w:szCs w:val="16"/>
              </w:rPr>
              <w:t>Webpay Plus (alternativa Mercado Pago)</w:t>
            </w:r>
          </w:p>
        </w:tc>
        <w:tc>
          <w:tcPr>
            <w:tcW w:w="4213" w:type="dxa"/>
            <w:tcMar>
              <w:top w:w="70" w:type="dxa"/>
              <w:left w:w="90" w:type="dxa"/>
              <w:bottom w:w="70" w:type="dxa"/>
              <w:right w:w="90" w:type="dxa"/>
            </w:tcMar>
            <w:vAlign w:val="center"/>
          </w:tcPr>
          <w:p>
            <w:pPr>
              <w:spacing w:before="0" w:after="0" w:line="240" w:lineRule="auto"/>
            </w:pPr>
            <w:r>
              <w:rPr>
                <w:sz w:val="16"/>
                <w:szCs w:val="16"/>
              </w:rPr>
              <w:t>Cobro del abono; el sistema guarda solo ID y estado</w:t>
            </w:r>
          </w:p>
        </w:tc>
      </w:tr>
      <w:tr>
        <w:trPr>
          <w:cantSplit/>
        </w:trPr>
        <w:tc>
          <w:tcPr>
            <w:tcW w:w="2059" w:type="dxa"/>
            <w:shd w:val="clear" w:color="auto" w:fill="F2F6F7"/>
            <w:tcMar>
              <w:top w:w="70" w:type="dxa"/>
              <w:left w:w="90" w:type="dxa"/>
              <w:bottom w:w="70" w:type="dxa"/>
              <w:right w:w="90" w:type="dxa"/>
            </w:tcMar>
            <w:vAlign w:val="center"/>
          </w:tcPr>
          <w:p>
            <w:pPr>
              <w:spacing w:before="0" w:after="0" w:line="240" w:lineRule="auto"/>
            </w:pPr>
            <w:r>
              <w:rPr>
                <w:sz w:val="16"/>
                <w:szCs w:val="16"/>
              </w:rPr>
              <w:t>Notificaciones</w:t>
            </w:r>
          </w:p>
        </w:tc>
        <w:tc>
          <w:tcPr>
            <w:tcW w:w="3088" w:type="dxa"/>
            <w:shd w:val="clear" w:color="auto" w:fill="F2F6F7"/>
            <w:tcMar>
              <w:top w:w="70" w:type="dxa"/>
              <w:left w:w="90" w:type="dxa"/>
              <w:bottom w:w="70" w:type="dxa"/>
              <w:right w:w="90" w:type="dxa"/>
            </w:tcMar>
            <w:vAlign w:val="center"/>
          </w:tcPr>
          <w:p>
            <w:pPr>
              <w:spacing w:before="0" w:after="0" w:line="240" w:lineRule="auto"/>
            </w:pPr>
            <w:r>
              <w:rPr>
                <w:sz w:val="16"/>
                <w:szCs w:val="16"/>
              </w:rPr>
              <w:t>Correo transaccional (SES/SMTP) y bandeja interna</w:t>
            </w:r>
          </w:p>
        </w:tc>
        <w:tc>
          <w:tcPr>
            <w:tcW w:w="4213" w:type="dxa"/>
            <w:shd w:val="clear" w:color="auto" w:fill="F2F6F7"/>
            <w:tcMar>
              <w:top w:w="70" w:type="dxa"/>
              <w:left w:w="90" w:type="dxa"/>
              <w:bottom w:w="70" w:type="dxa"/>
              <w:right w:w="90" w:type="dxa"/>
            </w:tcMar>
            <w:vAlign w:val="center"/>
          </w:tcPr>
          <w:p>
            <w:pPr>
              <w:spacing w:before="0" w:after="0" w:line="240" w:lineRule="auto"/>
            </w:pPr>
            <w:r>
              <w:rPr>
                <w:sz w:val="16"/>
                <w:szCs w:val="16"/>
              </w:rPr>
              <w:t>Confirmación, recordatorio, cancelación, avisos de derechos</w:t>
            </w:r>
          </w:p>
        </w:tc>
      </w:tr>
      <w:tr>
        <w:trPr>
          <w:cantSplit/>
        </w:trPr>
        <w:tc>
          <w:tcPr>
            <w:tcW w:w="2059" w:type="dxa"/>
            <w:tcMar>
              <w:top w:w="70" w:type="dxa"/>
              <w:left w:w="90" w:type="dxa"/>
              <w:bottom w:w="70" w:type="dxa"/>
              <w:right w:w="90" w:type="dxa"/>
            </w:tcMar>
            <w:vAlign w:val="center"/>
          </w:tcPr>
          <w:p>
            <w:pPr>
              <w:spacing w:before="0" w:after="0" w:line="240" w:lineRule="auto"/>
            </w:pPr>
            <w:r>
              <w:rPr>
                <w:sz w:val="16"/>
                <w:szCs w:val="16"/>
              </w:rPr>
              <w:t>Módulo de privacidad «Mis datos»</w:t>
            </w:r>
          </w:p>
        </w:tc>
        <w:tc>
          <w:tcPr>
            <w:tcW w:w="3088" w:type="dxa"/>
            <w:tcMar>
              <w:top w:w="70" w:type="dxa"/>
              <w:left w:w="90" w:type="dxa"/>
              <w:bottom w:w="70" w:type="dxa"/>
              <w:right w:w="90" w:type="dxa"/>
            </w:tcMar>
            <w:vAlign w:val="center"/>
          </w:tcPr>
          <w:p>
            <w:pPr>
              <w:spacing w:before="0" w:after="0" w:line="240" w:lineRule="auto"/>
            </w:pPr>
            <w:r>
              <w:rPr>
                <w:sz w:val="16"/>
                <w:szCs w:val="16"/>
              </w:rPr>
              <w:t>API + BD</w:t>
            </w:r>
          </w:p>
        </w:tc>
        <w:tc>
          <w:tcPr>
            <w:tcW w:w="4213" w:type="dxa"/>
            <w:tcMar>
              <w:top w:w="70" w:type="dxa"/>
              <w:left w:w="90" w:type="dxa"/>
              <w:bottom w:w="70" w:type="dxa"/>
              <w:right w:w="90" w:type="dxa"/>
            </w:tcMar>
            <w:vAlign w:val="center"/>
          </w:tcPr>
          <w:p>
            <w:pPr>
              <w:spacing w:before="0" w:after="0" w:line="240" w:lineRule="auto"/>
            </w:pPr>
            <w:r>
              <w:rPr>
                <w:sz w:val="16"/>
                <w:szCs w:val="16"/>
              </w:rPr>
              <w:t>Consentimientos, derechos del titular, retención</w:t>
            </w:r>
          </w:p>
        </w:tc>
      </w:tr>
    </w:tbl>
    <w:p>
      <w:pPr>
        <w:spacing w:before="0" w:after="60"/>
      </w:pPr>
    </w:p>
    <w:p>
      <w:pPr>
        <w:pStyle w:val="Ttulo1"/>
        <w:keepNext/>
        <w:spacing w:before="300" w:after="140"/>
      </w:pPr>
      <w:r>
        <w:rPr>
          <w:b/>
          <w:bCs/>
          <w:color w:val="1F4E5F"/>
          <w:sz w:val="26"/>
          <w:szCs w:val="26"/>
        </w:rPr>
        <w:t>8. Vista física (despliegue)</w:t>
      </w:r>
    </w:p>
    <w:p>
      <w:pPr>
        <w:keepNext/>
        <w:spacing w:before="160" w:after="0"/>
      </w:pPr>
      <w:r>
        <w:rPr>
          <w:b/>
          <w:bCs/>
          <w:sz w:val="20"/>
          <w:szCs w:val="20"/>
        </w:rPr>
        <w:t>Figura 22</w:t>
      </w:r>
    </w:p>
    <w:p>
      <w:pPr>
        <w:keepNext/>
        <w:spacing w:before="0" w:after="80"/>
      </w:pPr>
      <w:r>
        <w:rPr>
          <w:i/>
          <w:iCs/>
          <w:sz w:val="20"/>
          <w:szCs w:val="20"/>
        </w:rPr>
        <w:t>DIAG-13 — Vista física: despliegue actual (3 sucursales)</w:t>
      </w:r>
    </w:p>
    <w:p>
      <w:pPr>
        <w:keepNext/>
        <w:spacing w:before="40" w:after="40"/>
        <w:jc w:val="center"/>
      </w:pPr>
      <w:r>
        <w:drawing>
          <wp:inline xmlns:a="http://schemas.openxmlformats.org/drawingml/2006/main" xmlns:pic="http://schemas.openxmlformats.org/drawingml/2006/picture">
            <wp:extent cx="5580000" cy="4079964"/>
            <wp:docPr id="22" name="Picture 22"/>
            <wp:cNvGraphicFramePr>
              <a:graphicFrameLocks noChangeAspect="1"/>
            </wp:cNvGraphicFramePr>
            <a:graphic>
              <a:graphicData uri="http://schemas.openxmlformats.org/drawingml/2006/picture">
                <pic:pic>
                  <pic:nvPicPr>
                    <pic:cNvPr id="0" name="DIAG-13_Vista_fisica_despliegue_actual_3_sucursales.png"/>
                    <pic:cNvPicPr/>
                  </pic:nvPicPr>
                  <pic:blipFill>
                    <a:blip r:embed="rId30"/>
                    <a:stretch>
                      <a:fillRect/>
                    </a:stretch>
                  </pic:blipFill>
                  <pic:spPr>
                    <a:xfrm>
                      <a:off x="0" y="0"/>
                      <a:ext cx="5580000" cy="4079964"/>
                    </a:xfrm>
                    <a:prstGeom prst="rect"/>
                  </pic:spPr>
                </pic:pic>
              </a:graphicData>
            </a:graphic>
          </wp:inline>
        </w:drawing>
      </w:r>
    </w:p>
    <w:p>
      <w:pPr>
        <w:spacing w:before="60" w:after="160" w:line="252" w:lineRule="auto"/>
      </w:pPr>
      <w:r>
        <w:rPr>
          <w:i/>
          <w:iCs/>
          <w:sz w:val="18"/>
          <w:szCs w:val="18"/>
        </w:rPr>
        <w:t>Nota. Arquitectura de puesta en marcha: la base de datos PostgreSQL 17 opera en Supabase (región us-west-2, Oregón, EE. UU.; transferencia internacional declarada, SC-18), con 27 tablas, RLS cerrado y respaldo diario cifrado; Supabase también publica la API REST con las funciones api_* (SC-20) y el sitio web se aloja como archivos estáticos en un proveedor por definir.</w:t>
      </w:r>
      <w:r>
        <w:rPr>
          <w:sz w:val="18"/>
          <w:szCs w:val="18"/>
        </w:rPr>
        <w:t xml:space="preserve"> Las tres sucursales y los clientes acceden por HTTPS. Elaboración propia con PlantUML. Notación basada en Kruchten (1995).</w:t>
      </w:r>
    </w:p>
    <w:p>
      <w:pPr>
        <w:keepNext/>
        <w:spacing w:before="160" w:after="0"/>
      </w:pPr>
      <w:r>
        <w:rPr>
          <w:b/>
          <w:bCs/>
          <w:sz w:val="20"/>
          <w:szCs w:val="20"/>
        </w:rPr>
        <w:t>Figura 23</w:t>
      </w:r>
    </w:p>
    <w:p>
      <w:pPr>
        <w:keepNext/>
        <w:spacing w:before="0" w:after="80"/>
      </w:pPr>
      <w:r>
        <w:rPr>
          <w:i/>
          <w:iCs/>
          <w:sz w:val="20"/>
          <w:szCs w:val="20"/>
        </w:rPr>
        <w:t>DIAG-14 — Vista física: despliegue futuro escalado en cloud</w:t>
      </w:r>
    </w:p>
    <w:p>
      <w:pPr>
        <w:keepNext/>
        <w:spacing w:before="40" w:after="40"/>
        <w:jc w:val="center"/>
      </w:pPr>
      <w:r>
        <w:drawing>
          <wp:inline xmlns:a="http://schemas.openxmlformats.org/drawingml/2006/main" xmlns:pic="http://schemas.openxmlformats.org/drawingml/2006/picture">
            <wp:extent cx="5580000" cy="3396931"/>
            <wp:docPr id="23" name="Picture 23"/>
            <wp:cNvGraphicFramePr>
              <a:graphicFrameLocks noChangeAspect="1"/>
            </wp:cNvGraphicFramePr>
            <a:graphic>
              <a:graphicData uri="http://schemas.openxmlformats.org/drawingml/2006/picture">
                <pic:pic>
                  <pic:nvPicPr>
                    <pic:cNvPr id="0" name="DIAG-14_Vista_fisica_despliegue_futuro_escalado_en_cloud.png"/>
                    <pic:cNvPicPr/>
                  </pic:nvPicPr>
                  <pic:blipFill>
                    <a:blip r:embed="rId31"/>
                    <a:stretch>
                      <a:fillRect/>
                    </a:stretch>
                  </pic:blipFill>
                  <pic:spPr>
                    <a:xfrm>
                      <a:off x="0" y="0"/>
                      <a:ext cx="5580000" cy="3396931"/>
                    </a:xfrm>
                    <a:prstGeom prst="rect"/>
                  </pic:spPr>
                </pic:pic>
              </a:graphicData>
            </a:graphic>
          </wp:inline>
        </w:drawing>
      </w:r>
    </w:p>
    <w:p>
      <w:pPr>
        <w:spacing w:before="60" w:after="160" w:line="252" w:lineRule="auto"/>
      </w:pPr>
      <w:r>
        <w:rPr>
          <w:i/>
          <w:iCs/>
          <w:sz w:val="18"/>
          <w:szCs w:val="18"/>
        </w:rPr>
        <w:t xml:space="preserve">Nota. </w:t>
      </w:r>
      <w:r>
        <w:rPr>
          <w:sz w:val="18"/>
          <w:szCs w:val="18"/>
        </w:rPr>
        <w:t>Arquitectura objetivo para crecimiento: servicios administrados en una región ubicada en Chile (Azure Chile Central o Google Cloud Santiago), balanceo de carga, réplica de base de datos en alta disponibilidad y almacenamiento de respaldos, evitando la transferencia internacional de datos personales. Elaboración propia con PlantUML. Notación basada en Kruchten (1995).</w:t>
      </w:r>
    </w:p>
    <w:p>
      <w:pPr>
        <w:spacing w:before="0" w:after="120" w:line="276" w:lineRule="auto"/>
      </w:pPr>
      <w:r>
        <w:rPr>
          <w:sz w:val="21"/>
          <w:szCs w:val="21"/>
        </w:rPr>
        <w:t>La estimación de costos de la arquitectura futura (AWS, Azure, Google Cloud y VPS; escenarios bajo, medio y alto) está en el Plan de Gestión de Costos (documento 08). La implementación actual usa Supabase (PostgreSQL 17, región us-west-2, Oregón, EE. UU.); la transferencia internacional de datos personales está declarada en la Política de Privacidad y en el Registro de Actividades de Tratamiento (RAT), con las garantías contractuales del proveedor. Al escalar se evaluará una región ubicada en Chile.</w:t>
      </w:r>
    </w:p>
    <w:p>
      <w:pPr>
        <w:pStyle w:val="Ttulo1"/>
        <w:keepNext/>
        <w:spacing w:before="300" w:after="140"/>
      </w:pPr>
      <w:r>
        <w:rPr>
          <w:b/>
          <w:bCs/>
          <w:color w:val="1F4E5F"/>
          <w:sz w:val="26"/>
          <w:szCs w:val="26"/>
        </w:rPr>
        <w:t>9. Modelo de datos</w:t>
      </w:r>
    </w:p>
    <w:p>
      <w:pPr>
        <w:spacing w:before="0" w:after="120" w:line="276" w:lineRule="auto"/>
      </w:pPr>
      <w:r>
        <w:rPr>
          <w:sz w:val="21"/>
          <w:szCs w:val="21"/>
        </w:rPr>
        <w:t xml:space="preserve">El modelo de datos es </w:t>
      </w:r>
      <w:r>
        <w:rPr>
          <w:b/>
          <w:bCs/>
          <w:sz w:val="21"/>
          <w:szCs w:val="21"/>
        </w:rPr>
        <w:t>relacional</w:t>
      </w:r>
      <w:r>
        <w:rPr>
          <w:sz w:val="21"/>
          <w:szCs w:val="21"/>
        </w:rPr>
        <w:t xml:space="preserve"> (PostgreSQL) y se documenta en detalle en el documento 16. Reemplaza el modelo documental de Cloud Firestore de la versión 2.x.</w:t>
      </w:r>
    </w:p>
    <w:p>
      <w:pPr>
        <w:keepNext/>
        <w:spacing w:before="160" w:after="0"/>
      </w:pPr>
      <w:r>
        <w:rPr>
          <w:b/>
          <w:bCs/>
          <w:sz w:val="20"/>
          <w:szCs w:val="20"/>
        </w:rPr>
        <w:t>Figura 24</w:t>
      </w:r>
    </w:p>
    <w:p>
      <w:pPr>
        <w:keepNext/>
        <w:spacing w:before="0" w:after="80"/>
      </w:pPr>
      <w:r>
        <w:rPr>
          <w:i/>
          <w:iCs/>
          <w:sz w:val="20"/>
          <w:szCs w:val="20"/>
        </w:rPr>
        <w:t>DIAG-27 — Modelo Entidad-Relación conceptual</w:t>
      </w:r>
    </w:p>
    <w:p>
      <w:pPr>
        <w:keepNext/>
        <w:spacing w:before="40" w:after="40"/>
        <w:jc w:val="center"/>
      </w:pPr>
      <w:r>
        <w:drawing>
          <wp:inline xmlns:a="http://schemas.openxmlformats.org/drawingml/2006/main" xmlns:pic="http://schemas.openxmlformats.org/drawingml/2006/picture">
            <wp:extent cx="5940000" cy="2207422"/>
            <wp:docPr id="24" name="Picture 24"/>
            <wp:cNvGraphicFramePr>
              <a:graphicFrameLocks noChangeAspect="1"/>
            </wp:cNvGraphicFramePr>
            <a:graphic>
              <a:graphicData uri="http://schemas.openxmlformats.org/drawingml/2006/picture">
                <pic:pic>
                  <pic:nvPicPr>
                    <pic:cNvPr id="0" name="DIAG-27_Modelo_Entidad_Relacion_conceptual.png"/>
                    <pic:cNvPicPr/>
                  </pic:nvPicPr>
                  <pic:blipFill>
                    <a:blip r:embed="rId32"/>
                    <a:stretch>
                      <a:fillRect/>
                    </a:stretch>
                  </pic:blipFill>
                  <pic:spPr>
                    <a:xfrm>
                      <a:off x="0" y="0"/>
                      <a:ext cx="5940000" cy="2207422"/>
                    </a:xfrm>
                    <a:prstGeom prst="rect"/>
                  </pic:spPr>
                </pic:pic>
              </a:graphicData>
            </a:graphic>
          </wp:inline>
        </w:drawing>
      </w:r>
    </w:p>
    <w:p>
      <w:pPr>
        <w:spacing w:before="60" w:after="160" w:line="252" w:lineRule="auto"/>
      </w:pPr>
      <w:r>
        <w:rPr>
          <w:i/>
          <w:iCs/>
          <w:sz w:val="18"/>
          <w:szCs w:val="18"/>
        </w:rPr>
        <w:t xml:space="preserve">Nota. </w:t>
      </w:r>
      <w:r>
        <w:rPr>
          <w:sz w:val="18"/>
          <w:szCs w:val="18"/>
        </w:rPr>
        <w:t>Entidades del negocio y sus relaciones con cardinalidad (notación de pata de gallo). Incluye las entidades mínimas solicitadas: Sucursal, Usuario, Cliente, Barbero, Servicio, Horario, Reserva, Pago, Atención, Fila por orden de llegada, Promoción, Configuración, Notificación, Consentimiento, Solicitud de derechos y Registro de auditoría. Elaboración propia con PlantUML. Notación basada en PostgreSQL Global Development Group (2026).</w:t>
      </w:r>
    </w:p>
    <w:p>
      <w:pPr>
        <w:pStyle w:val="Ttulo1"/>
        <w:keepNext/>
        <w:spacing w:before="300" w:after="140"/>
      </w:pPr>
      <w:r>
        <w:rPr>
          <w:b/>
          <w:bCs/>
          <w:color w:val="1F4E5F"/>
          <w:sz w:val="26"/>
          <w:szCs w:val="26"/>
        </w:rPr>
        <w:t>10. Decisiones de diseño y selección de alternativas</w:t>
      </w:r>
    </w:p>
    <w:p>
      <w:pPr>
        <w:keepNext/>
        <w:spacing w:before="160" w:after="0"/>
      </w:pPr>
      <w:r>
        <w:rPr>
          <w:b/>
          <w:bCs/>
          <w:sz w:val="20"/>
          <w:szCs w:val="20"/>
        </w:rPr>
        <w:t>Tabla 7</w:t>
      </w:r>
    </w:p>
    <w:p>
      <w:pPr>
        <w:keepNext/>
        <w:spacing w:before="0" w:after="80"/>
      </w:pPr>
      <w:r>
        <w:rPr>
          <w:i/>
          <w:iCs/>
          <w:sz w:val="20"/>
          <w:szCs w:val="20"/>
        </w:rPr>
        <w:t>Decisiones de diseño y selección de alternativas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340"/>
        <w:gridCol w:w="2340"/>
        <w:gridCol w:w="4680"/>
      </w:tblGrid>
      <w:tr>
        <w:trPr>
          <w:tblHeader/>
        </w:trPr>
        <w:tc>
          <w:tcPr>
            <w:tcW w:w="2340"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Decisión</w:t>
            </w:r>
          </w:p>
        </w:tc>
        <w:tc>
          <w:tcPr>
            <w:tcW w:w="2340"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Alternativas evaluadas</w:t>
            </w:r>
          </w:p>
        </w:tc>
        <w:tc>
          <w:tcPr>
            <w:tcW w:w="4680"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Justificación</w:t>
            </w:r>
          </w:p>
        </w:tc>
      </w:tr>
      <w:tr>
        <w:trPr>
          <w:cantSplit/>
        </w:trPr>
        <w:tc>
          <w:tcPr>
            <w:tcW w:w="2340" w:type="dxa"/>
            <w:tcMar>
              <w:top w:w="70" w:type="dxa"/>
              <w:left w:w="90" w:type="dxa"/>
              <w:bottom w:w="70" w:type="dxa"/>
              <w:right w:w="90" w:type="dxa"/>
            </w:tcMar>
            <w:vAlign w:val="center"/>
          </w:tcPr>
          <w:p>
            <w:pPr>
              <w:spacing w:before="0" w:after="0" w:line="240" w:lineRule="auto"/>
            </w:pPr>
            <w:r>
              <w:rPr>
                <w:sz w:val="16"/>
                <w:szCs w:val="16"/>
              </w:rPr>
              <w:t>PostgreSQL como base de datos única</w:t>
            </w:r>
          </w:p>
        </w:tc>
        <w:tc>
          <w:tcPr>
            <w:tcW w:w="2340" w:type="dxa"/>
            <w:tcMar>
              <w:top w:w="70" w:type="dxa"/>
              <w:left w:w="90" w:type="dxa"/>
              <w:bottom w:w="70" w:type="dxa"/>
              <w:right w:w="90" w:type="dxa"/>
            </w:tcMar>
            <w:vAlign w:val="center"/>
          </w:tcPr>
          <w:p>
            <w:pPr>
              <w:spacing w:before="0" w:after="0" w:line="240" w:lineRule="auto"/>
            </w:pPr>
            <w:r>
              <w:rPr>
                <w:sz w:val="16"/>
                <w:szCs w:val="16"/>
              </w:rPr>
              <w:t>Cloud Firestore (v2.x), MySQL</w:t>
            </w:r>
          </w:p>
        </w:tc>
        <w:tc>
          <w:tcPr>
            <w:tcW w:w="4680" w:type="dxa"/>
            <w:tcMar>
              <w:top w:w="70" w:type="dxa"/>
              <w:left w:w="90" w:type="dxa"/>
              <w:bottom w:w="70" w:type="dxa"/>
              <w:right w:w="90" w:type="dxa"/>
            </w:tcMar>
            <w:vAlign w:val="center"/>
          </w:tcPr>
          <w:p>
            <w:pPr>
              <w:spacing w:before="0" w:after="0" w:line="240" w:lineRule="auto"/>
            </w:pPr>
            <w:r>
              <w:rPr>
                <w:sz w:val="16"/>
                <w:szCs w:val="16"/>
              </w:rPr>
              <w:t>Requisito de BD relacional; integridad referencial; restricción de exclusión contra doble reserva; servicio administrado (Supabase, región us-west-2, EE. UU.; transferencia internacional declarada)</w:t>
            </w:r>
          </w:p>
        </w:tc>
      </w:tr>
      <w:tr>
        <w:trPr>
          <w:cantSplit/>
        </w:trPr>
        <w:tc>
          <w:tcPr>
            <w:tcW w:w="2340" w:type="dxa"/>
            <w:shd w:val="clear" w:color="auto" w:fill="F2F6F7"/>
            <w:tcMar>
              <w:top w:w="70" w:type="dxa"/>
              <w:left w:w="90" w:type="dxa"/>
              <w:bottom w:w="70" w:type="dxa"/>
              <w:right w:w="90" w:type="dxa"/>
            </w:tcMar>
            <w:vAlign w:val="center"/>
          </w:tcPr>
          <w:p>
            <w:pPr>
              <w:spacing w:before="0" w:after="0" w:line="240" w:lineRule="auto"/>
            </w:pPr>
            <w:r>
              <w:rPr>
                <w:sz w:val="16"/>
                <w:szCs w:val="16"/>
              </w:rPr>
              <w:t>API REST única para web y app</w:t>
            </w:r>
          </w:p>
        </w:tc>
        <w:tc>
          <w:tcPr>
            <w:tcW w:w="2340" w:type="dxa"/>
            <w:shd w:val="clear" w:color="auto" w:fill="F2F6F7"/>
            <w:tcMar>
              <w:top w:w="70" w:type="dxa"/>
              <w:left w:w="90" w:type="dxa"/>
              <w:bottom w:w="70" w:type="dxa"/>
              <w:right w:w="90" w:type="dxa"/>
            </w:tcMar>
            <w:vAlign w:val="center"/>
          </w:tcPr>
          <w:p>
            <w:pPr>
              <w:spacing w:before="0" w:after="0" w:line="240" w:lineRule="auto"/>
            </w:pPr>
            <w:r>
              <w:rPr>
                <w:sz w:val="16"/>
                <w:szCs w:val="16"/>
              </w:rPr>
              <w:t>Acceso directo de los clientes a la BD</w:t>
            </w:r>
          </w:p>
        </w:tc>
        <w:tc>
          <w:tcPr>
            <w:tcW w:w="4680" w:type="dxa"/>
            <w:shd w:val="clear" w:color="auto" w:fill="F2F6F7"/>
            <w:tcMar>
              <w:top w:w="70" w:type="dxa"/>
              <w:left w:w="90" w:type="dxa"/>
              <w:bottom w:w="70" w:type="dxa"/>
              <w:right w:w="90" w:type="dxa"/>
            </w:tcMar>
            <w:vAlign w:val="center"/>
          </w:tcPr>
          <w:p>
            <w:pPr>
              <w:spacing w:before="0" w:after="0" w:line="240" w:lineRule="auto"/>
            </w:pPr>
            <w:r>
              <w:rPr>
                <w:sz w:val="16"/>
                <w:szCs w:val="16"/>
              </w:rPr>
              <w:t>Una sola implementación de reglas, seguridad y auditoría; evita inconsistencias entre plataformas detectadas en el prototipo</w:t>
            </w:r>
          </w:p>
        </w:tc>
      </w:tr>
      <w:tr>
        <w:trPr>
          <w:cantSplit/>
        </w:trPr>
        <w:tc>
          <w:tcPr>
            <w:tcW w:w="2340" w:type="dxa"/>
            <w:tcMar>
              <w:top w:w="70" w:type="dxa"/>
              <w:left w:w="90" w:type="dxa"/>
              <w:bottom w:w="70" w:type="dxa"/>
              <w:right w:w="90" w:type="dxa"/>
            </w:tcMar>
            <w:vAlign w:val="center"/>
          </w:tcPr>
          <w:p>
            <w:pPr>
              <w:spacing w:before="0" w:after="0" w:line="240" w:lineRule="auto"/>
            </w:pPr>
            <w:r>
              <w:rPr>
                <w:sz w:val="16"/>
                <w:szCs w:val="16"/>
              </w:rPr>
              <w:t>Abono parametrizable en tabla configuracion</w:t>
            </w:r>
          </w:p>
        </w:tc>
        <w:tc>
          <w:tcPr>
            <w:tcW w:w="2340" w:type="dxa"/>
            <w:tcMar>
              <w:top w:w="70" w:type="dxa"/>
              <w:left w:w="90" w:type="dxa"/>
              <w:bottom w:w="70" w:type="dxa"/>
              <w:right w:w="90" w:type="dxa"/>
            </w:tcMar>
            <w:vAlign w:val="center"/>
          </w:tcPr>
          <w:p>
            <w:pPr>
              <w:spacing w:before="0" w:after="0" w:line="240" w:lineRule="auto"/>
            </w:pPr>
            <w:r>
              <w:rPr>
                <w:sz w:val="16"/>
                <w:szCs w:val="16"/>
              </w:rPr>
              <w:t>Monto fijo en el código</w:t>
            </w:r>
          </w:p>
        </w:tc>
        <w:tc>
          <w:tcPr>
            <w:tcW w:w="4680" w:type="dxa"/>
            <w:tcMar>
              <w:top w:w="70" w:type="dxa"/>
              <w:left w:w="90" w:type="dxa"/>
              <w:bottom w:w="70" w:type="dxa"/>
              <w:right w:w="90" w:type="dxa"/>
            </w:tcMar>
            <w:vAlign w:val="center"/>
          </w:tcPr>
          <w:p>
            <w:pPr>
              <w:spacing w:before="0" w:after="0" w:line="240" w:lineRule="auto"/>
            </w:pPr>
            <w:r>
              <w:rPr>
                <w:sz w:val="16"/>
                <w:szCs w:val="16"/>
              </w:rPr>
              <w:t>Cambiar a otro monto o porcentaje por sucursal/servicio sin modificar el modelo</w:t>
            </w:r>
          </w:p>
        </w:tc>
      </w:tr>
      <w:tr>
        <w:trPr>
          <w:cantSplit/>
        </w:trPr>
        <w:tc>
          <w:tcPr>
            <w:tcW w:w="2340" w:type="dxa"/>
            <w:shd w:val="clear" w:color="auto" w:fill="F2F6F7"/>
            <w:tcMar>
              <w:top w:w="70" w:type="dxa"/>
              <w:left w:w="90" w:type="dxa"/>
              <w:bottom w:w="70" w:type="dxa"/>
              <w:right w:w="90" w:type="dxa"/>
            </w:tcMar>
            <w:vAlign w:val="center"/>
          </w:tcPr>
          <w:p>
            <w:pPr>
              <w:spacing w:before="0" w:after="0" w:line="240" w:lineRule="auto"/>
            </w:pPr>
            <w:r>
              <w:rPr>
                <w:sz w:val="16"/>
                <w:szCs w:val="16"/>
              </w:rPr>
              <w:t>Pago delegado a la pasarela</w:t>
            </w:r>
          </w:p>
        </w:tc>
        <w:tc>
          <w:tcPr>
            <w:tcW w:w="2340" w:type="dxa"/>
            <w:shd w:val="clear" w:color="auto" w:fill="F2F6F7"/>
            <w:tcMar>
              <w:top w:w="70" w:type="dxa"/>
              <w:left w:w="90" w:type="dxa"/>
              <w:bottom w:w="70" w:type="dxa"/>
              <w:right w:w="90" w:type="dxa"/>
            </w:tcMar>
            <w:vAlign w:val="center"/>
          </w:tcPr>
          <w:p>
            <w:pPr>
              <w:spacing w:before="0" w:after="0" w:line="240" w:lineRule="auto"/>
            </w:pPr>
            <w:r>
              <w:rPr>
                <w:sz w:val="16"/>
                <w:szCs w:val="16"/>
              </w:rPr>
              <w:t>Formulario propio de tarjeta</w:t>
            </w:r>
          </w:p>
        </w:tc>
        <w:tc>
          <w:tcPr>
            <w:tcW w:w="4680" w:type="dxa"/>
            <w:shd w:val="clear" w:color="auto" w:fill="F2F6F7"/>
            <w:tcMar>
              <w:top w:w="70" w:type="dxa"/>
              <w:left w:w="90" w:type="dxa"/>
              <w:bottom w:w="70" w:type="dxa"/>
              <w:right w:w="90" w:type="dxa"/>
            </w:tcMar>
            <w:vAlign w:val="center"/>
          </w:tcPr>
          <w:p>
            <w:pPr>
              <w:spacing w:before="0" w:after="0" w:line="240" w:lineRule="auto"/>
            </w:pPr>
            <w:r>
              <w:rPr>
                <w:sz w:val="16"/>
                <w:szCs w:val="16"/>
              </w:rPr>
              <w:t>Sin datos de tarjeta en el sistema (reduce alcance PCI DSS y riesgo)</w:t>
            </w:r>
          </w:p>
        </w:tc>
      </w:tr>
      <w:tr>
        <w:trPr>
          <w:cantSplit/>
        </w:trPr>
        <w:tc>
          <w:tcPr>
            <w:tcW w:w="2340" w:type="dxa"/>
            <w:tcMar>
              <w:top w:w="70" w:type="dxa"/>
              <w:left w:w="90" w:type="dxa"/>
              <w:bottom w:w="70" w:type="dxa"/>
              <w:right w:w="90" w:type="dxa"/>
            </w:tcMar>
            <w:vAlign w:val="center"/>
          </w:tcPr>
          <w:p>
            <w:pPr>
              <w:spacing w:before="0" w:after="0" w:line="240" w:lineRule="auto"/>
            </w:pPr>
            <w:r>
              <w:rPr>
                <w:sz w:val="16"/>
                <w:szCs w:val="16"/>
              </w:rPr>
              <w:t>Privacidad desde el diseño</w:t>
            </w:r>
          </w:p>
        </w:tc>
        <w:tc>
          <w:tcPr>
            <w:tcW w:w="2340" w:type="dxa"/>
            <w:tcMar>
              <w:top w:w="70" w:type="dxa"/>
              <w:left w:w="90" w:type="dxa"/>
              <w:bottom w:w="70" w:type="dxa"/>
              <w:right w:w="90" w:type="dxa"/>
            </w:tcMar>
            <w:vAlign w:val="center"/>
          </w:tcPr>
          <w:p>
            <w:pPr>
              <w:spacing w:before="0" w:after="0" w:line="240" w:lineRule="auto"/>
            </w:pPr>
            <w:r>
              <w:rPr>
                <w:sz w:val="16"/>
                <w:szCs w:val="16"/>
              </w:rPr>
              <w:t>Adecuación posterior</w:t>
            </w:r>
          </w:p>
        </w:tc>
        <w:tc>
          <w:tcPr>
            <w:tcW w:w="4680" w:type="dxa"/>
            <w:tcMar>
              <w:top w:w="70" w:type="dxa"/>
              <w:left w:w="90" w:type="dxa"/>
              <w:bottom w:w="70" w:type="dxa"/>
              <w:right w:w="90" w:type="dxa"/>
            </w:tcMar>
            <w:vAlign w:val="center"/>
          </w:tcPr>
          <w:p>
            <w:pPr>
              <w:spacing w:before="0" w:after="0" w:line="240" w:lineRule="auto"/>
            </w:pPr>
            <w:r>
              <w:rPr>
                <w:sz w:val="16"/>
                <w:szCs w:val="16"/>
              </w:rPr>
              <w:t>Cumplimiento anticipado de la Ley N° 21.719; menor costo y riesgo</w:t>
            </w:r>
          </w:p>
        </w:tc>
      </w:tr>
      <w:tr>
        <w:trPr>
          <w:cantSplit/>
        </w:trPr>
        <w:tc>
          <w:tcPr>
            <w:tcW w:w="2340" w:type="dxa"/>
            <w:shd w:val="clear" w:color="auto" w:fill="F2F6F7"/>
            <w:tcMar>
              <w:top w:w="70" w:type="dxa"/>
              <w:left w:w="90" w:type="dxa"/>
              <w:bottom w:w="70" w:type="dxa"/>
              <w:right w:w="90" w:type="dxa"/>
            </w:tcMar>
            <w:vAlign w:val="center"/>
          </w:tcPr>
          <w:p>
            <w:pPr>
              <w:spacing w:before="0" w:after="0" w:line="240" w:lineRule="auto"/>
            </w:pPr>
            <w:r>
              <w:rPr>
                <w:sz w:val="16"/>
                <w:szCs w:val="16"/>
              </w:rPr>
              <w:t>Supabase para la base de datos en la puesta en marcha</w:t>
            </w:r>
          </w:p>
        </w:tc>
        <w:tc>
          <w:tcPr>
            <w:tcW w:w="2340" w:type="dxa"/>
            <w:shd w:val="clear" w:color="auto" w:fill="F2F6F7"/>
            <w:tcMar>
              <w:top w:w="70" w:type="dxa"/>
              <w:left w:w="90" w:type="dxa"/>
              <w:bottom w:w="70" w:type="dxa"/>
              <w:right w:w="90" w:type="dxa"/>
            </w:tcMar>
            <w:vAlign w:val="center"/>
          </w:tcPr>
          <w:p>
            <w:pPr>
              <w:spacing w:before="0" w:after="0" w:line="240" w:lineRule="auto"/>
            </w:pPr>
            <w:r>
              <w:rPr>
                <w:sz w:val="16"/>
                <w:szCs w:val="16"/>
              </w:rPr>
              <w:t>PostgreSQL propio en un VPS en Santiago; cloud con región en Chile</w:t>
            </w:r>
          </w:p>
        </w:tc>
        <w:tc>
          <w:tcPr>
            <w:tcW w:w="4680" w:type="dxa"/>
            <w:shd w:val="clear" w:color="auto" w:fill="F2F6F7"/>
            <w:tcMar>
              <w:top w:w="70" w:type="dxa"/>
              <w:left w:w="90" w:type="dxa"/>
              <w:bottom w:w="70" w:type="dxa"/>
              <w:right w:w="90" w:type="dxa"/>
            </w:tcMar>
            <w:vAlign w:val="center"/>
          </w:tcPr>
          <w:p>
            <w:pPr>
              <w:spacing w:before="0" w:after="0" w:line="240" w:lineRule="auto"/>
            </w:pPr>
            <w:r>
              <w:rPr>
                <w:sz w:val="16"/>
                <w:szCs w:val="16"/>
              </w:rPr>
              <w:t>Servicio administrado (cifrado, respaldos, RLS) sin costo inicial; implica una transferencia internacional declarada (SC-18). Desde el 22-10-2026 también publica la API REST (funciones api_*, SC-20)</w:t>
            </w:r>
          </w:p>
        </w:tc>
      </w:tr>
    </w:tbl>
    <w:p>
      <w:pPr>
        <w:spacing w:before="0" w:after="60"/>
      </w:pPr>
    </w:p>
    <w:p>
      <w:pPr>
        <w:pStyle w:val="Ttulo1"/>
        <w:keepNext/>
        <w:spacing w:before="300" w:after="140"/>
      </w:pPr>
      <w:r>
        <w:rPr>
          <w:b/>
          <w:bCs/>
          <w:color w:val="1F4E5F"/>
          <w:sz w:val="26"/>
          <w:szCs w:val="26"/>
        </w:rPr>
        <w:t>11. Seguridad y privacidad</w:t>
      </w:r>
    </w:p>
    <w:p>
      <w:pPr>
        <w:numPr>
          <w:ilvl w:val="0"/>
          <w:numId w:val="1"/>
        </w:numPr>
        <w:spacing w:before="0" w:after="60" w:line="264" w:lineRule="auto"/>
        <w:ind w:left="540" w:hanging="270"/>
      </w:pPr>
      <w:r>
        <w:rPr>
          <w:sz w:val="21"/>
          <w:szCs w:val="21"/>
        </w:rPr>
        <w:t>TLS 1.2+; cifrado en reposo; hash Argon2id/bcrypt; bloqueo por intentos fallidos.</w:t>
      </w:r>
    </w:p>
    <w:p>
      <w:pPr>
        <w:numPr>
          <w:ilvl w:val="0"/>
          <w:numId w:val="1"/>
        </w:numPr>
        <w:spacing w:before="0" w:after="60" w:line="264" w:lineRule="auto"/>
        <w:ind w:left="540" w:hanging="270"/>
      </w:pPr>
      <w:r>
        <w:rPr>
          <w:sz w:val="21"/>
          <w:szCs w:val="21"/>
        </w:rPr>
        <w:t>RBAC: cliente, barbero, administrador de sucursal, dueño (alcance por sucursal).</w:t>
      </w:r>
    </w:p>
    <w:p>
      <w:pPr>
        <w:numPr>
          <w:ilvl w:val="0"/>
          <w:numId w:val="1"/>
        </w:numPr>
        <w:spacing w:before="0" w:after="60" w:line="264" w:lineRule="auto"/>
        <w:ind w:left="540" w:hanging="270"/>
      </w:pPr>
      <w:r>
        <w:rPr>
          <w:sz w:val="21"/>
          <w:szCs w:val="21"/>
        </w:rPr>
        <w:t>Auditoría inmutable de accesos y cambios; retención automática; procedimiento de brechas.</w:t>
      </w:r>
    </w:p>
    <w:p>
      <w:pPr>
        <w:numPr>
          <w:ilvl w:val="0"/>
          <w:numId w:val="1"/>
        </w:numPr>
        <w:spacing w:before="0" w:after="60" w:line="264" w:lineRule="auto"/>
        <w:ind w:left="540" w:hanging="270"/>
      </w:pPr>
      <w:r>
        <w:rPr>
          <w:sz w:val="21"/>
          <w:szCs w:val="21"/>
        </w:rPr>
        <w:t>Secretos en variables de entorno o gestor; nunca en el repositorio.</w:t>
      </w:r>
    </w:p>
    <w:p>
      <w:pPr>
        <w:pStyle w:val="Ttulo1"/>
        <w:keepNext/>
        <w:spacing w:before="300" w:after="140"/>
      </w:pPr>
      <w:r>
        <w:rPr>
          <w:b/>
          <w:bCs/>
          <w:color w:val="1F4E5F"/>
          <w:sz w:val="26"/>
          <w:szCs w:val="26"/>
        </w:rPr>
        <w:t>12. Análisis de reutilización</w:t>
      </w:r>
    </w:p>
    <w:p>
      <w:pPr>
        <w:numPr>
          <w:ilvl w:val="0"/>
          <w:numId w:val="1"/>
        </w:numPr>
        <w:spacing w:before="0" w:after="60" w:line="264" w:lineRule="auto"/>
        <w:ind w:left="540" w:hanging="270"/>
      </w:pPr>
      <w:r>
        <w:rPr>
          <w:sz w:val="21"/>
          <w:szCs w:val="21"/>
        </w:rPr>
        <w:t>Pantallas existentes de los prototipos web y app (se reemplaza solo la capa de datos).</w:t>
      </w:r>
    </w:p>
    <w:p>
      <w:pPr>
        <w:numPr>
          <w:ilvl w:val="0"/>
          <w:numId w:val="1"/>
        </w:numPr>
        <w:spacing w:before="0" w:after="60" w:line="264" w:lineRule="auto"/>
        <w:ind w:left="540" w:hanging="270"/>
      </w:pPr>
      <w:r>
        <w:rPr>
          <w:sz w:val="21"/>
          <w:szCs w:val="21"/>
        </w:rPr>
        <w:t>Componentes Material Design 3 y biblioteca de UI web.</w:t>
      </w:r>
    </w:p>
    <w:p>
      <w:pPr>
        <w:numPr>
          <w:ilvl w:val="0"/>
          <w:numId w:val="1"/>
        </w:numPr>
        <w:spacing w:before="0" w:after="60" w:line="264" w:lineRule="auto"/>
        <w:ind w:left="540" w:hanging="270"/>
      </w:pPr>
      <w:r>
        <w:rPr>
          <w:sz w:val="21"/>
          <w:szCs w:val="21"/>
        </w:rPr>
        <w:t>Esquema y pruebas automatizadas del DDL reutilizables para nuevas sucursales.</w:t>
      </w:r>
    </w:p>
    <w:p>
      <w:pPr>
        <w:numPr>
          <w:ilvl w:val="0"/>
          <w:numId w:val="1"/>
        </w:numPr>
        <w:spacing w:before="0" w:after="60" w:line="264" w:lineRule="auto"/>
        <w:ind w:left="540" w:hanging="270"/>
      </w:pPr>
      <w:r>
        <w:rPr>
          <w:sz w:val="21"/>
          <w:szCs w:val="21"/>
        </w:rPr>
        <w:t>Servicio de notificaciones transversal para recordatorios, cancelaciones y avisos de derechos.</w:t>
      </w:r>
    </w:p>
    <w:p>
      <w:pPr>
        <w:pStyle w:val="Ttulo1"/>
        <w:keepNext/>
        <w:pageBreakBefore/>
        <w:spacing w:before="300" w:after="140"/>
      </w:pPr>
      <w:r>
        <w:rPr>
          <w:b/>
          <w:bCs/>
          <w:color w:val="1F4E5F"/>
          <w:sz w:val="26"/>
          <w:szCs w:val="26"/>
        </w:rPr>
        <w:t>Referencias</w:t>
      </w:r>
    </w:p>
    <w:p>
      <w:pPr>
        <w:spacing w:before="0" w:after="120" w:line="360" w:lineRule="auto"/>
        <w:ind w:left="720" w:hanging="720"/>
      </w:pPr>
      <w:r>
        <w:rPr>
          <w:sz w:val="21"/>
          <w:szCs w:val="21"/>
        </w:rPr>
        <w:t xml:space="preserve">Amazon. (2025, 7 de mayo). </w:t>
      </w:r>
      <w:r>
        <w:rPr>
          <w:i/>
          <w:iCs/>
          <w:sz w:val="21"/>
          <w:szCs w:val="21"/>
        </w:rPr>
        <w:t>Amazon to invest more than $4 billion to launch infrastructure region in Chile</w:t>
      </w:r>
      <w:r>
        <w:rPr>
          <w:sz w:val="21"/>
          <w:szCs w:val="21"/>
        </w:rPr>
        <w:t xml:space="preserve"> [Comunicado de prensa]. Business Wire. https://www.businesswire.com/news/home/20250507585471/en/</w:t>
      </w:r>
    </w:p>
    <w:p>
      <w:pPr>
        <w:spacing w:before="0" w:after="120" w:line="360" w:lineRule="auto"/>
        <w:ind w:left="720" w:hanging="720"/>
      </w:pPr>
      <w:r>
        <w:rPr>
          <w:sz w:val="21"/>
          <w:szCs w:val="21"/>
        </w:rPr>
        <w:t xml:space="preserve">Kruchten, P. B. (1995). The 4+1 view model of architecture. </w:t>
      </w:r>
      <w:r>
        <w:rPr>
          <w:i/>
          <w:iCs/>
          <w:sz w:val="21"/>
          <w:szCs w:val="21"/>
        </w:rPr>
        <w:t>IEEE Software, 12</w:t>
      </w:r>
      <w:r>
        <w:rPr>
          <w:sz w:val="21"/>
          <w:szCs w:val="21"/>
        </w:rPr>
        <w:t>(6), 42–50. https://doi.org/10.1109/52.469759</w:t>
      </w:r>
    </w:p>
    <w:p>
      <w:pPr>
        <w:spacing w:before="0" w:after="120" w:line="360" w:lineRule="auto"/>
        <w:ind w:left="720" w:hanging="720"/>
      </w:pPr>
      <w:r>
        <w:rPr>
          <w:sz w:val="21"/>
          <w:szCs w:val="21"/>
        </w:rPr>
        <w:t xml:space="preserve">Ley N° 21.719. (2024, 13 de diciembre). </w:t>
      </w:r>
      <w:r>
        <w:rPr>
          <w:i/>
          <w:iCs/>
          <w:sz w:val="21"/>
          <w:szCs w:val="21"/>
        </w:rPr>
        <w:t>Regula la protección y el tratamiento de los datos personales y crea la Agencia de Protección de Datos Personales</w:t>
      </w:r>
      <w:r>
        <w:rPr>
          <w:sz w:val="21"/>
          <w:szCs w:val="21"/>
        </w:rPr>
        <w:t>. Diario Oficial de la República de Chile. https://www.bcn.cl/leychile/navegar?idNorma=1209272</w:t>
      </w:r>
    </w:p>
    <w:p>
      <w:pPr>
        <w:spacing w:before="0" w:after="120" w:line="360" w:lineRule="auto"/>
        <w:ind w:left="720" w:hanging="720"/>
      </w:pPr>
      <w:r>
        <w:rPr>
          <w:sz w:val="21"/>
          <w:szCs w:val="21"/>
        </w:rPr>
        <w:t xml:space="preserve">Object Management Group [OMG]. (2017). </w:t>
      </w:r>
      <w:r>
        <w:rPr>
          <w:i/>
          <w:iCs/>
          <w:sz w:val="21"/>
          <w:szCs w:val="21"/>
        </w:rPr>
        <w:t>OMG Unified Modeling Language</w:t>
      </w:r>
      <w:r>
        <w:rPr>
          <w:sz w:val="21"/>
          <w:szCs w:val="21"/>
        </w:rPr>
        <w:t xml:space="preserve"> (versión 2.5.1). https://www.omg.org/spec/UML/2.5.1/</w:t>
      </w:r>
    </w:p>
    <w:p>
      <w:pPr>
        <w:spacing w:before="0" w:after="120" w:line="360" w:lineRule="auto"/>
        <w:ind w:left="720" w:hanging="720"/>
      </w:pPr>
      <w:r>
        <w:rPr>
          <w:sz w:val="21"/>
          <w:szCs w:val="21"/>
        </w:rPr>
        <w:t xml:space="preserve">PostgreSQL Global Development Group. (2026). </w:t>
      </w:r>
      <w:r>
        <w:rPr>
          <w:i/>
          <w:iCs/>
          <w:sz w:val="21"/>
          <w:szCs w:val="21"/>
        </w:rPr>
        <w:t>PostgreSQL documentation: Constraints</w:t>
      </w:r>
      <w:r>
        <w:rPr>
          <w:sz w:val="21"/>
          <w:szCs w:val="21"/>
        </w:rPr>
        <w:t>. https://www.postgresql.org/docs/current/ddl-constraints.html</w:t>
      </w:r>
    </w:p>
    <w:sectPr w:rsidR="00283C63">
      <w:headerReference w:type="default" r:id="rId33"/>
      <w:footerReference w:type="default" r:id="rId3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F2E16"/>
    <w:multiLevelType w:val="hybridMultilevel"/>
    <w:tmpl w:val="5644E8DE"/>
    <w:lvl w:ilvl="0" w:tplc="1C3E0146">
      <w:start w:val="1"/>
      <w:numFmt w:val="bullet"/>
      <w:lvlText w:val="●"/>
      <w:lvlJc w:val="left"/>
      <w:pPr>
        <w:ind w:left="720" w:hanging="360"/>
      </w:pPr>
    </w:lvl>
    <w:lvl w:ilvl="1" w:tplc="58122168">
      <w:start w:val="1"/>
      <w:numFmt w:val="bullet"/>
      <w:lvlText w:val="○"/>
      <w:lvlJc w:val="left"/>
      <w:pPr>
        <w:ind w:left="1440" w:hanging="360"/>
      </w:pPr>
    </w:lvl>
    <w:lvl w:ilvl="2" w:tplc="09764CCA">
      <w:start w:val="1"/>
      <w:numFmt w:val="bullet"/>
      <w:lvlText w:val="■"/>
      <w:lvlJc w:val="left"/>
      <w:pPr>
        <w:ind w:left="2160" w:hanging="360"/>
      </w:pPr>
    </w:lvl>
    <w:lvl w:ilvl="3" w:tplc="393881B8">
      <w:start w:val="1"/>
      <w:numFmt w:val="bullet"/>
      <w:lvlText w:val="●"/>
      <w:lvlJc w:val="left"/>
      <w:pPr>
        <w:ind w:left="2880" w:hanging="360"/>
      </w:pPr>
    </w:lvl>
    <w:lvl w:ilvl="4" w:tplc="D1CAE7C2">
      <w:start w:val="1"/>
      <w:numFmt w:val="bullet"/>
      <w:lvlText w:val="○"/>
      <w:lvlJc w:val="left"/>
      <w:pPr>
        <w:ind w:left="3600" w:hanging="360"/>
      </w:pPr>
    </w:lvl>
    <w:lvl w:ilvl="5" w:tplc="B2422004">
      <w:start w:val="1"/>
      <w:numFmt w:val="bullet"/>
      <w:lvlText w:val="■"/>
      <w:lvlJc w:val="left"/>
      <w:pPr>
        <w:ind w:left="4320" w:hanging="360"/>
      </w:pPr>
    </w:lvl>
    <w:lvl w:ilvl="6" w:tplc="851AAEEC">
      <w:start w:val="1"/>
      <w:numFmt w:val="bullet"/>
      <w:lvlText w:val="●"/>
      <w:lvlJc w:val="left"/>
      <w:pPr>
        <w:ind w:left="5040" w:hanging="360"/>
      </w:pPr>
    </w:lvl>
    <w:lvl w:ilvl="7" w:tplc="FF806F1E">
      <w:start w:val="1"/>
      <w:numFmt w:val="bullet"/>
      <w:lvlText w:val="●"/>
      <w:lvlJc w:val="left"/>
      <w:pPr>
        <w:ind w:left="5760" w:hanging="360"/>
      </w:pPr>
    </w:lvl>
    <w:lvl w:ilvl="8" w:tplc="5858B3D2">
      <w:start w:val="1"/>
      <w:numFmt w:val="bullet"/>
      <w:lvlText w:val="●"/>
      <w:lvlJc w:val="left"/>
      <w:pPr>
        <w:ind w:left="6480" w:hanging="360"/>
      </w:pPr>
    </w:lvl>
  </w:abstractNum>
  <w:num w:numId="1" w16cid:durableId="950089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C63"/>
    <w:rsid w:val="00283C63"/>
    <w:rsid w:val="007E7053"/>
    <w:rsid w:val="00DD3E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0348"/>
  <w15:docId w15:val="{A8C6BD89-47D9-4098-95A6-FA7BD137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header" Target="header1.xml"/><Relationship Id="rId3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3636</Words>
  <Characters>20001</Characters>
  <Application>Microsoft Office Word</Application>
  <DocSecurity>0</DocSecurity>
  <Lines>166</Lines>
  <Paragraphs>47</Paragraphs>
  <ScaleCrop>false</ScaleCrop>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Rosales, Jonathan Ojeda</dc:creator>
  <cp:lastModifiedBy>YERKO ALEXIS ROSALES BOBADILLA</cp:lastModifiedBy>
  <cp:revision>2</cp:revision>
  <dcterms:created xsi:type="dcterms:W3CDTF">2026-09-04T18:11:00Z</dcterms:created>
  <dcterms:modified xsi:type="dcterms:W3CDTF">2026-09-04T18:45:00Z</dcterms:modified>
  <dc:title>DAS - Barberia Big Boys</dc:title>
</cp:coreProperties>
</file>