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Documento de Control Integrado de Cambios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1.3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Este documento define cómo se solicitan, evalúan, aprueban y registran los cambios del Proyecto Barbería Big-Boys, y mantiene el registro de las solicitudes. Al 30-10-2026 se registran 26 solicitudes (SC-01 a SC-26): las 17 primeras derivan de la actualización integral de la documentación y las siguientes, de la implementación en Supabase, de la planificación del despliegue de la migración de la web y la app al modelo relacional, de la integración del sistema (H6) y del seguimiento de riesgos.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Proceso de Gestión de Cambios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1. </w:t>
      </w:r>
      <w:r>
        <w:rPr>
          <w:rFonts w:ascii="Arial" w:hAnsi="Arial" w:cs="Arial" w:eastAsia="Arial"/>
          <w:b/>
          <w:bCs/>
          <w:sz w:val="22"/>
          <w:szCs w:val="22"/>
        </w:rPr>
        <w:t>Solicitud</w:t>
      </w:r>
      <w:r>
        <w:rPr>
          <w:rFonts w:ascii="Arial" w:hAnsi="Arial" w:cs="Arial" w:eastAsia="Arial"/>
          <w:sz w:val="22"/>
          <w:szCs w:val="22"/>
        </w:rPr>
        <w:t>: cualquier interesado presenta el cambio mediante el formulario (sección 4).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2. </w:t>
      </w:r>
      <w:r>
        <w:rPr>
          <w:rFonts w:ascii="Arial" w:hAnsi="Arial" w:cs="Arial" w:eastAsia="Arial"/>
          <w:b/>
          <w:bCs/>
          <w:sz w:val="22"/>
          <w:szCs w:val="22"/>
        </w:rPr>
        <w:t>Evaluación</w:t>
      </w:r>
      <w:r>
        <w:rPr>
          <w:rFonts w:ascii="Arial" w:hAnsi="Arial" w:cs="Arial" w:eastAsia="Arial"/>
          <w:sz w:val="22"/>
          <w:szCs w:val="22"/>
        </w:rPr>
        <w:t>: el Jefe de Proyecto analiza el impacto en alcance, cronograma, costos, calidad, riesgos y protección de datos.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3. </w:t>
      </w:r>
      <w:r>
        <w:rPr>
          <w:rFonts w:ascii="Arial" w:hAnsi="Arial" w:cs="Arial" w:eastAsia="Arial"/>
          <w:b/>
          <w:bCs/>
          <w:sz w:val="22"/>
          <w:szCs w:val="22"/>
        </w:rPr>
        <w:t>Decisión</w:t>
      </w:r>
      <w:r>
        <w:rPr>
          <w:rFonts w:ascii="Arial" w:hAnsi="Arial" w:cs="Arial" w:eastAsia="Arial"/>
          <w:sz w:val="22"/>
          <w:szCs w:val="22"/>
        </w:rPr>
        <w:t>: el Comité de Control de Cambios aprueba, rechaza o difiere. Los cambios documentales sin impacto en alcance los aprueba el Jefe de Proyecto.</w:t>
      </w:r>
    </w:p>
    <w:p>
      <w:pPr>
        <w:spacing w:before="0" w:after="60" w:line="264" w:lineRule="auto"/>
        <w:ind w:left="426" w:hanging="284"/>
      </w:pPr>
      <w:r>
        <w:rPr>
          <w:rFonts w:ascii="Arial" w:hAnsi="Arial" w:cs="Arial" w:eastAsia="Arial"/>
          <w:sz w:val="22"/>
          <w:szCs w:val="22"/>
        </w:rPr>
        <w:t xml:space="preserve">4. </w:t>
      </w:r>
      <w:r>
        <w:rPr>
          <w:rFonts w:ascii="Arial" w:hAnsi="Arial" w:cs="Arial" w:eastAsia="Arial"/>
          <w:b/>
          <w:bCs/>
          <w:sz w:val="22"/>
          <w:szCs w:val="22"/>
        </w:rPr>
        <w:t>Actualización</w:t>
      </w:r>
      <w:r>
        <w:rPr>
          <w:rFonts w:ascii="Arial" w:hAnsi="Arial" w:cs="Arial" w:eastAsia="Arial"/>
          <w:sz w:val="22"/>
          <w:szCs w:val="22"/>
        </w:rPr>
        <w:t>: se actualizan líneas base y documentos afectados, se registra la versión y se comunica a los interesados.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Comité de Control de Cambios (CCB)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Comité de Control de Cambios (CCB)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5700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Rol en el Comité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Dueño/a de Barbería Big-Boys [nombre por validar]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Patrocinador — aprueba cambios de alcance y reglas de negocio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Yerko Rosales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 — evalúa impacto y coordina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Jonathan Ojeda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Desarrollador — evalúa impacto técnico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Fernando Herrera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Docente — consultor (cambios académicos)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Formulario de Solicitud de Cambio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0"/>
          <w:szCs w:val="20"/>
        </w:rPr>
        <w:t>Ejemplo completado con la solicitud de mayor impacto (SC-04):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Formulario de Solicitud de Cambio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850"/>
        <w:gridCol w:w="6650"/>
      </w:tblGrid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Nº de solicitud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SC-04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09-10-2026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Solicitado por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 (requisito confirmado del curso)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Reemplazar Cloud Firestore por una base de datos relacional PostgreSQL y una API única para web y app; documentar MER, modelo relacional, diccionario y script DDL.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 modelo y la base de datos deben ser relacionales. Además, el prototipo con Firestore permitía doble reserva entre web y app (formatos de fecha distintos y sin transacciones).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Impacto en alcance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Modifica RF-12, RF-36, RF-37; no agrega funcionalidades al usuario.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Impacto en cronograma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Nueva actividad crítica 1.4.3 (13-10 al 28-10-2026); punto de control 23-10-2026.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Impacto en costos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 h adicionales de desarrollo; operación con VPS en Santiago (actualizado por SC-18: la base de datos opera en Supabase; la API se publica en Supabase según SC-20).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Decisión (Aprobado/Rechazado)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Aprobado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Firma responsable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Yerko Rosales — Jefe de Proyecto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Registro de Solicitudes de Cambio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Registro de Solicitudes de Cambio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760"/>
        <w:gridCol w:w="1045"/>
        <w:gridCol w:w="4275"/>
        <w:gridCol w:w="1520"/>
        <w:gridCol w:w="1900"/>
      </w:tblGrid>
      <w:tr>
        <w:trPr>
          <w:tblHeader/>
        </w:trPr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N°</w:t>
            </w:r>
          </w:p>
        </w:tc>
        <w:tc>
          <w:tcPr>
            <w:tcW w:w="10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5"/>
                <w:szCs w:val="15"/>
              </w:rPr>
              <w:t>Impacto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SC-01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Nombre oficial «Proyecto Barbería Big-Boys» en todos los documentos, portadas, diagramas y presentaciones (antes: BIG BOYS, Barbería Big Boys, Blade &amp; Co./Big Boys).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Documental: todos los documentos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SC-02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Tres sucursales con dirección (Peñaflor – 21 de Mayo, casa matriz; Peñaflor – Alcalde Luis Araya Cereceda; Talagante). Antes: dos (Peñaflor y Talagante).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 con patrocinador)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Alcance, modelo de datos, KPIs, despliegue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SC-03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Abono de reserva $3.000 fijo para todos los servicios, parametrizable (monto o %, por sucursal/servicio); se descuenta del servicio; reagendar con ≥ 24 h (máx. 2); anulación &lt; 24 h o no-show pierde el abono. Antes: «porcentaje» (Acta) y $5.000 (ERS).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 S-13 y S-14)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RF-14, RF-18, RF-39, RF-40, RF-44; tabla configuracion; costos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SC-04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Base de datos relacional PostgreSQL con API única para web y app (reemplaza Cloud Firestore); modelo ER, diccionario y script DDL validado.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(requisito del curso confirmado)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Alto — Arquitectura (DAS v3.0), RF-36/37, cronograma 1.4.3, riesgos R-02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SC-05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Cumplimiento anticipado de la Ley N° 21.719 y gobierno de datos: consentimientos, «Mis datos», auditoría, retención, brechas, RAT y políticas; se elimina el RUT por minimización.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 con patrocinador)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Alto — RF-48 a RF-61, RNF-07 a RNF-11, 9 tablas, 13 CU, Anexo A, políticas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SC-06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Atención por orden de llegada digital (fila, abandono) y KPIs por sucursal, subtotal Peñaflor y consolidado, con análisis de ROI.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RF-41 a RF-47; documentos 05, 08, 09; Acta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SC-07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Corrección de fechas: entrega final 13-11-2026 (antes 8-11-2026 en ERS, DAS y Guía 1.5); Fase 3 del 19-10 al 13-11; defensa probable 27-11-2026.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Cronograma, ERS, DAS, Guía 1.5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SC-08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Código en pausa (stand by) desde el 06-10-2026 para actualizar la documentación; el desarrollo de la API y la migración se reprograman al 13-10-2026.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Cronograma (ruta crítica), riesgos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SC-09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Corrección del objetivo general en la presentación de Fase 1: la plataforma «complementa» (no «reemplaza») la atención por orden de llegada.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Presentación Fase 1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SC-10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Plantillas 02–14 completadas y asignatura corregida (GPY6111 → PTY4614 Capstone); nuevos documentos 15, 16, 17, Anexo A y políticas.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Documentación de gestión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SC-11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Aplicación de la norma APA 7.ª edición en toda la documentación: citas autor-fecha, lista de Referencias con sangría francesa, y tablas y figuras numeradas con título en cursiva y nota.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Todos los documentos, presentación y planilla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SC-12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Precios reales del catálogo de 9 servicios; el ingreso perdido se valoriza exclusivamente con el precio del corte ($11.900, antes $15.000 supuesto) y se agrega un análisis de sensibilidad (Barba $8.330 a S. Completo $23.800). Complementos (lavado, cejas, mascarillas) no agendables en línea (confirmado 07-10-2026); duración máxima de servicio 60 min.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(dato del negocio)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KPIs, ROI, Plan de Costos, Alcance, Acta, ERS, BD (catálogo y columna reservable_individual), presentación y Excel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SC-13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Atribuciones por rol: el barbero solo consulta sus atenciones, montos y total acumulado; el administrador de sucursal (cajero/a) confirma el servicio, inicia y registra la atención, marca no-show y cambia estados. Nuevo CU-41, RF-62, DIAG-35, columna atencion.registrada_por y vista v_atenciones_barbero.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(definido por el negocio)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Casos de uso, RF, diagramas DIAG-04/05/08/15/19/35, BD, ERS, Anexo A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SC-14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Calendario del proyecto: la semana 1 es siempre la del 10 al 16 de agosto de 2026; todos los documentos y presentaciones indican la semana actual. La entrega del 13-11 cae en S14 (antes se indicaba S13) y la defensa en S16.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Cronograma, Gantt, informes y presentaciones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SC-15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Diagramas con nombre descriptivo en la imagen, el código fuente y el archivo; versión editable en StarUML (.mdj) de los diagramas de casos de uso, clases y modelo de datos.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Diagramas y documentos que los insertan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SC-16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Alta de perfiles: solo los clientes crean su propio perfil; los perfiles de barberos y administradores de sucursal (cajero/a) los crea exclusivamente el Dueño, que entrega credenciales temporales en forma personal (cambio obligatorio en el primer ingreso). Se confirma que el barbero no ve la agenda. Nuevo RF-63, CU-31 redefinido, columnas usuario.creado_por y usuario.debe_cambiar_clave, y trigger tg_alta_colaborador.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(definido por el negocio)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RF-01, RF-05, RF-63, CU-01/02/31, DIAG-02/16/20, BD, matriz de permisos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SC-17</w:t>
            </w:r>
          </w:p>
        </w:tc>
        <w:tc>
          <w:tcPr>
            <w:tcW w:w="104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09-10-2026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Presentación de avance del proyecto el viernes 23-10-2026 (S11), nuevo hito H5; el cierre de la Fase 2 se mantiene el 18-10-2026 (fin de la semana S10). Portada con el formato definido por el equipo (sin la línea de Vicerrectoría Académica; nombre del proyecto y descripción en líneas separadas) y sección CAPSTONE_011V. Acrónimo de los escenarios de calidad cambia de QS a QA. Las referencias APA quedan en la última hoja de cada documento.</w:t>
            </w:r>
          </w:p>
        </w:tc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(definido por el equipo)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Todos los documentos (portada y referencias), DAS, cronograma (hitos H5 a H9)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SC-18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20-10-2026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La base de datos se implementa en Supabase (PostgreSQL 17, región us-west-2, Oregón, EE. UU.) en lugar de un servidor en Chile. Se declara la transferencia internacional de datos personales en la Política de Privacidad y en el RAT, y se actualizan los documentos 04, 15, 16, 18, DAS, ERS y Anexo A.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(equipo del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RNF de ubicación de datos, Política de Privacidad, RAT, R-09, DAS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SC-19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22-10-2026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Fase de Despliegue en el roadmap (S12 ambiente, S13 producción y APK firmada, S14 marcha blanca), presentada en el seguimiento del 09-10-2026 y no incluida en la EDT.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Propuesto (validar con el docente)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EDT (nuevo paquete), cronograma, costos de operación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SC-20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22-10-2026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Definir el alojamiento de la API y la web. Opciones: (a) API propia en un servidor de aplicaciones (propuesta: VPS en Santiago) o (b) Supabase como backend. Decisión del 22-10-2026: opción (b). Supabase publica la API REST mediante 13 funciones api_* que validan las credenciales y las reglas dentro de la base de datos; las tablas siguen cerradas a la clave pública (RLS). El sitio web se aloja como archivos estáticos (proveedor por definir).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por el equipo (22-10-2026); implementado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DAS (vista física y decisiones), RNF-06, CP-NF-07, costos (08), adquisiciones (10)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SC-21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22-10-2026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Modelo de datos v1.2: nueva tabla resena para la calificación de barberos (RF-09), coordenadas de las sucursales para el mapa y 4 barberos de prueba hasta recibir la nómina real. La web y la app pasan al modelo relacional y se eliminan las 7 tablas del prototipo (cierra R-14).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por el equipo (22-10-2026); implementado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Diseño de BD (16), DIAG-27/28, DDL (24/24 pruebas), riesgos (R-14), web y app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SC-22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27-10-2026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Pago del abono con Webpay Plus en el ambiente de integración de Transbank, mediante funciones api_webpay_iniciar, api_webpay_confirmar y api_webpay_estado que se ejecutan en la base de datos (extensión http). La reserva queda PENDIENTE_PAGO y vence a los 15 minutos si no se paga. Reemplaza la simulación de pago del prototipo.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por el equipo (27-10-2026); implementado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Pago del abono, DAS, Diseño de BD (16), pruebas (18), riesgo R-05, web y app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SC-23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27-10-2026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Fila por orden de llegada, «Mis datos» (derechos del titular y consentimientos), cuentas del personal creadas por el Dueño (cajero/a = administrador de sucursal; el barbero ingresa con contraseña en lugar del PIN del prototipo) y cola de correos enviada desde el servidor. La API pasa de 13 a 32 funciones api_*.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por el equipo (27-10-2026); implementado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Actividad crítica 1.4.3, Diseño de BD (16), pruebas (18), riesgos R-02 y R-17, web y app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SC-24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28-10-2026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Seguridad de las reservas: solo el titular (el invitado, con el correo con que reservó), el Dueño o el cajero/a de la sucursal pueden cambiar una reserva; sin cuenta del personal solo se crean reservas pendientes de pago; el barbero y los cajeros/as de otra sucursal no ven el contacto de los clientes; el inicio de sesión se bloquea 15 minutos tras 5 intentos fallidos (parámetros MAX_INTENTOS_LOGIN y MINUTOS_BLOQUEO_LOGIN), en lugar de bloquear la cuenta en forma permanente. Cada cambio queda en el registro de auditoría.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por el equipo (28-10-2026); implementado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Medio — Riesgo R-03, Diseño de BD (16), pruebas (18: 16/16), web y app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SC-25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28-10-2026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Ambiente UAT de la web publicado como sitio estático en GitHub Pages (rama gh-pages, HTTPS). Resuelve, para el ambiente UAT, el proveedor del sitio web que SC-20 dejaba por definir; el proveedor de producción sigue por definir.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por el equipo (28-10-2026); implementado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Despliegue (SC-19), DAS (vista física), riesgo R-15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SC-26</w:t>
            </w:r>
          </w:p>
        </w:tc>
        <w:tc>
          <w:tcPr>
            <w:tcW w:w="1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30-10-2026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Las presentaciones de seguimiento identifican cada riesgo con su ID fijo del Plan de Gestión de los Riesgos (R-NN), por observación del docente en la presentación del 23-10-2026; antes se numeraban 1, 2, 3… cada semana. Se agrega R-18 (las pruebas y el ambiente UAT usan la misma base de datos).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Aprobado (Jefe de Proyecto)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5"/>
                <w:szCs w:val="15"/>
              </w:rPr>
              <w:t>Bajo — Plan de Gestión de los Riesgos (15 v1.4), presentaciones de seguimiento y roadmap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Documento de Control Integrado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2026-08-27T15:54:57.138Z</dcterms:created>
  <dcterms:modified xsi:type="dcterms:W3CDTF">2026-08-27T15:54:57.138Z</dcterms:modified>
  <dc:title>11_Control_Integrado_de_Cambios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