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 w14:paraId="6803E4C4" w14:textId="77777777" w:rsidR="003A56F9" w:rsidRDefault="00000000">
      <w:pPr>
        <w:spacing w:before="400" w:after="400"/>
        <w:jc w:val="center"/>
      </w:pPr>
      <w:r>
        <w:rPr>
          <w:b/>
          <w:bCs/>
          <w:color w:val="1F3864"/>
          <w:sz w:val="32"/>
          <w:szCs w:val="32"/>
        </w:rPr>
        <w:t>DUOC UC</w:t>
      </w:r>
    </w:p>
    <w:p w14:paraId="69C650E8" w14:textId="77777777" w:rsidR="003A56F9" w:rsidRDefault="00000000">
      <w:pPr>
        <w:spacing w:after="600"/>
        <w:jc w:val="center"/>
      </w:pPr>
      <w:r>
        <w:rPr>
          <w:sz w:val="22"/>
          <w:szCs w:val="22"/>
        </w:rPr>
        <w:t>Escuela de Informática y Telecomunicaciones</w:t>
      </w:r>
    </w:p>
    <w:p w14:paraId="781AD5AE" w14:textId="77777777" w:rsidR="003A56F9" w:rsidRDefault="00000000">
      <w:pPr>
        <w:spacing w:before="800" w:after="200"/>
        <w:jc w:val="center"/>
      </w:pPr>
      <w:r>
        <w:rPr>
          <w:b/>
          <w:bCs/>
          <w:color w:val="1F3864"/>
          <w:sz w:val="32"/>
          <w:szCs w:val="32"/>
        </w:rPr>
        <w:t>Plan de Gestión de los Riesgos</w:t>
      </w:r>
    </w:p>
    <w:p w14:paraId="402B79DA" w14:textId="77777777" w:rsidR="008C0EC9" w:rsidRDefault="00000000">
      <w:pPr>
        <w:spacing w:after="800"/>
        <w:jc w:val="center"/>
        <w:rPr>
          <w:b/>
          <w:bCs/>
        </w:rPr>
      </w:pPr>
      <w:r>
        <w:rPr>
          <w:b/>
          <w:bCs/>
        </w:rPr>
        <w:t>Proyecto Barbería Big-Boys</w:t>
      </w:r>
    </w:p>
    <w:p w14:paraId="7FFFE397" w14:textId="77777777" w:rsidR="008C0EC9" w:rsidRDefault="00000000">
      <w:pPr>
        <w:spacing w:after="800"/>
        <w:jc w:val="center"/>
        <w:rPr>
          <w:b/>
          <w:bCs/>
        </w:rPr>
      </w:pPr>
      <w:r>
        <w:rPr>
          <w:b/>
          <w:bCs/>
        </w:rPr>
        <w:t>—</w:t>
      </w:r>
    </w:p>
    <w:p w14:paraId="388468A6" w14:textId="5EEE88B8" w:rsidR="003A56F9" w:rsidRDefault="00000000">
      <w:pPr>
        <w:spacing w:after="800"/>
        <w:jc w:val="center"/>
      </w:pPr>
      <w:r>
        <w:rPr>
          <w:b/>
          <w:bCs/>
        </w:rPr>
        <w:t>Sistema de agendamiento y gestión (web + app móvil)</w:t>
      </w:r>
      <w:proofErr w:type="gramStart"/>
      <w:r>
        <w:rPr>
          <w:b/>
          <w:bCs/>
        </w:rPr>
      </w:r>
      <w:proofErr w:type="gramEnd"/>
      <w:r>
        <w:rPr>
          <w:b/>
          <w:bCs/>
        </w:rPr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300"/>
      </w:tblGrid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Asignatura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 w:val="false"/>
                <w:color w:val="000000"/>
                <w:sz w:val="20"/>
                <w:szCs w:val="20"/>
              </w:rPr>
              <w:t>PTY4614 — Capstone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Sección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/>
                <w:color w:val="000000"/>
                <w:sz w:val="20"/>
                <w:szCs w:val="20"/>
              </w:rPr>
              <w:t>CAPSTONE_011V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Docente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/>
                <w:color w:val="000000"/>
                <w:sz w:val="20"/>
                <w:szCs w:val="20"/>
              </w:rPr>
              <w:t>Fernando Herrera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Integrantes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/>
                <w:color w:val="000000"/>
                <w:sz w:val="20"/>
                <w:szCs w:val="20"/>
              </w:rPr>
              <w:t>Yerko Rosales (Jefe de Proyecto, Analista y Diseño UX/UI) · Jonathan Ojeda (Desarrollo Backend y Base de Datos)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Fecha de entrega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/>
                <w:color w:val="000000"/>
                <w:sz w:val="20"/>
                <w:szCs w:val="20"/>
              </w:rPr>
              <w:t>18 de octubre de 2026 (entrega Fase 2)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Versión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 w:val="false"/>
                <w:color w:val="000000"/>
                <w:sz w:val="20"/>
                <w:szCs w:val="20"/>
              </w:rPr>
              <w:t>1.4</w:t>
            </w:r>
          </w:p>
        </w:tc>
      </w:tr>
    </w:tbl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1. Introducción</w:t>
      </w:r>
    </w:p>
    <w:p>
      <w:pPr>
        <w:spacing w:before="0" w:after="120" w:line="276" w:lineRule="auto"/>
        <w:jc w:val="both"/>
      </w:pPr>
      <w:r>
        <w:rPr>
          <w:rFonts w:ascii="Arial" w:hAnsi="Arial" w:cs="Arial" w:eastAsia="Arial"/>
          <w:sz w:val="22"/>
          <w:szCs w:val="22"/>
        </w:rPr>
        <w:t>El Plan de Gestión de los Riesgos del Proyecto Barbería Big-Boys define la metodología para identificar, analizar, responder y monitorear los riesgos del proyecto y del producto. Sigue el enfoque de gestión de riesgos del PMBOK (Project Management Institute [PMI], 2021), incorpora explícitamente el riesgo regulatorio de la Ley N° 21.719 (Ley N° 21.719, 2024) y cuantifica el riesgo evitado de sanciones como valor agregado del producto.</w:t>
      </w: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2. Metodología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sz w:val="22"/>
          <w:szCs w:val="22"/>
        </w:rPr>
        <w:t>Identificación en cada reunión semanal y en cada hito.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sz w:val="22"/>
          <w:szCs w:val="22"/>
        </w:rPr>
        <w:t>Análisis cualitativo: probabilidad (1–5) × impacto (1–5); nivel Alto ≥ 15, Medio 8–14, Bajo ≤ 7.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sz w:val="22"/>
          <w:szCs w:val="22"/>
        </w:rPr>
        <w:t>Estrategias: evitar, mitigar, transferir o aceptar.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sz w:val="22"/>
          <w:szCs w:val="22"/>
        </w:rPr>
        <w:t>Monitoreo semanal; los riesgos Altos se informan al patrocinador.</w:t>
      </w: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3. Registro de Riesgos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1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Registro de Riesgos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570"/>
        <w:gridCol w:w="2280"/>
        <w:gridCol w:w="950"/>
        <w:gridCol w:w="380"/>
        <w:gridCol w:w="380"/>
        <w:gridCol w:w="855"/>
        <w:gridCol w:w="2945"/>
        <w:gridCol w:w="1140"/>
      </w:tblGrid>
      <w:tr>
        <w:trPr>
          <w:tblHeader/>
        </w:trPr>
        <w:tc>
          <w:tcPr>
            <w:tcW w:w="57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4"/>
                <w:szCs w:val="14"/>
              </w:rPr>
              <w:t>ID</w:t>
            </w:r>
          </w:p>
        </w:tc>
        <w:tc>
          <w:tcPr>
            <w:tcW w:w="228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4"/>
                <w:szCs w:val="14"/>
              </w:rPr>
              <w:t>Riesgo</w:t>
            </w:r>
          </w:p>
        </w:tc>
        <w:tc>
          <w:tcPr>
            <w:tcW w:w="95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4"/>
                <w:szCs w:val="14"/>
              </w:rPr>
              <w:t>Categoría</w:t>
            </w:r>
          </w:p>
        </w:tc>
        <w:tc>
          <w:tcPr>
            <w:tcW w:w="38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4"/>
                <w:szCs w:val="14"/>
              </w:rPr>
              <w:t>P</w:t>
            </w:r>
          </w:p>
        </w:tc>
        <w:tc>
          <w:tcPr>
            <w:tcW w:w="38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4"/>
                <w:szCs w:val="14"/>
              </w:rPr>
              <w:t>I</w:t>
            </w:r>
          </w:p>
        </w:tc>
        <w:tc>
          <w:tcPr>
            <w:tcW w:w="85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4"/>
                <w:szCs w:val="14"/>
              </w:rPr>
              <w:t>Nivel</w:t>
            </w:r>
          </w:p>
        </w:tc>
        <w:tc>
          <w:tcPr>
            <w:tcW w:w="294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4"/>
                <w:szCs w:val="14"/>
              </w:rPr>
              <w:t>Respuesta</w:t>
            </w:r>
          </w:p>
        </w:tc>
        <w:tc>
          <w:tcPr>
            <w:tcW w:w="114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4"/>
                <w:szCs w:val="14"/>
              </w:rPr>
              <w:t>Dueño</w:t>
            </w:r>
          </w:p>
        </w:tc>
      </w:tr>
      <w:tr>
        <w:trPr>
          <w:cantSplit/>
        </w:trPr>
        <w:tc>
          <w:tcPr>
            <w:tcW w:w="57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R-01</w:t>
            </w:r>
          </w:p>
        </w:tc>
        <w:tc>
          <w:tcPr>
            <w:tcW w:w="22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Sanción por incumplimiento de la normativa de datos personales (Ley N° 21.719) al entrar en vigencia el 01-12-2026</w:t>
            </w:r>
          </w:p>
        </w:tc>
        <w:tc>
          <w:tcPr>
            <w:tcW w:w="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Legal</w:t>
            </w:r>
          </w:p>
        </w:tc>
        <w:tc>
          <w:tcPr>
            <w:tcW w:w="3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2</w:t>
            </w:r>
          </w:p>
        </w:tc>
        <w:tc>
          <w:tcPr>
            <w:tcW w:w="3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5</w:t>
            </w:r>
          </w:p>
        </w:tc>
        <w:tc>
          <w:tcPr>
            <w:tcW w:w="855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Medio (10)</w:t>
            </w:r>
          </w:p>
        </w:tc>
        <w:tc>
          <w:tcPr>
            <w:tcW w:w="29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Evitar: Cumplimiento desde el diseño: consentimientos, «Mis datos», RAT, auditoría, retención, procedimiento de brechas y políticas publicadas antes del lanzamiento.</w:t>
            </w:r>
          </w:p>
        </w:tc>
        <w:tc>
          <w:tcPr>
            <w:tcW w:w="11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Dueño/a (responsable de cumplimiento) / YR</w:t>
            </w:r>
          </w:p>
        </w:tc>
      </w:tr>
      <w:tr>
        <w:trPr>
          <w:cantSplit/>
        </w:trPr>
        <w:tc>
          <w:tcPr>
            <w:tcW w:w="57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R-02</w:t>
            </w:r>
          </w:p>
        </w:tc>
        <w:tc>
          <w:tcPr>
            <w:tcW w:w="22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Atraso en la actividad crítica 1.4.3 (al 30-10-2026 la integración está entregada: pago con Webpay, fila, «Mis datos» y cuentas del personal; los correos y el respaldo diario pasan a S13)</w:t>
            </w:r>
          </w:p>
        </w:tc>
        <w:tc>
          <w:tcPr>
            <w:tcW w:w="9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Cronograma</w:t>
            </w:r>
          </w:p>
        </w:tc>
        <w:tc>
          <w:tcPr>
            <w:tcW w:w="3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2</w:t>
            </w:r>
          </w:p>
        </w:tc>
        <w:tc>
          <w:tcPr>
            <w:tcW w:w="3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4</w:t>
            </w:r>
          </w:p>
        </w:tc>
        <w:tc>
          <w:tcPr>
            <w:tcW w:w="855" w:type="dxa"/>
            <w:shd w:val="clear" w:color="auto" w:fill="F8D7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Medio (8)</w:t>
            </w:r>
          </w:p>
        </w:tc>
        <w:tc>
          <w:tcPr>
            <w:tcW w:w="294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Mitigar: Priorizar el flujo de reserva con abono; control semanal de lo que pasa a S13; reserva de contingencia.</w:t>
            </w:r>
          </w:p>
        </w:tc>
        <w:tc>
          <w:tcPr>
            <w:tcW w:w="114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JO</w:t>
            </w:r>
          </w:p>
        </w:tc>
      </w:tr>
      <w:tr>
        <w:trPr>
          <w:cantSplit/>
        </w:trPr>
        <w:tc>
          <w:tcPr>
            <w:tcW w:w="57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R-03</w:t>
            </w:r>
          </w:p>
        </w:tc>
        <w:tc>
          <w:tcPr>
            <w:tcW w:w="22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Brecha de seguridad o exposición de credenciales (se detectó una clave de correo en el código del prototipo; el 22-10-2026 se trasladó a archivos .env excluidos del repositorio; el 28-10-2026 se corrigió la autorización de las reservas)</w:t>
            </w:r>
          </w:p>
        </w:tc>
        <w:tc>
          <w:tcPr>
            <w:tcW w:w="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Seguridad</w:t>
            </w:r>
          </w:p>
        </w:tc>
        <w:tc>
          <w:tcPr>
            <w:tcW w:w="3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2</w:t>
            </w:r>
          </w:p>
        </w:tc>
        <w:tc>
          <w:tcPr>
            <w:tcW w:w="3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5</w:t>
            </w:r>
          </w:p>
        </w:tc>
        <w:tc>
          <w:tcPr>
            <w:tcW w:w="855" w:type="dxa"/>
            <w:shd w:val="clear" w:color="auto" w:fill="F8D7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Medio (10)</w:t>
            </w:r>
          </w:p>
        </w:tc>
        <w:tc>
          <w:tcPr>
            <w:tcW w:w="29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Mitigar: secretos en variables de entorno fuera del repositorio (22-10-2026); cambios de reserva solo con credenciales del titular, del Dueño o del cajero/a de la sucursal, contacto oculto al barbero y bloqueo temporal de 15 min tras 5 intentos (28-10-2026, 16/16 pruebas); envío de correos desde el servidor; revisión de código antes de cada commit; TLS, cifrado en reposo y procedimiento de notificación.</w:t>
            </w:r>
          </w:p>
        </w:tc>
        <w:tc>
          <w:tcPr>
            <w:tcW w:w="11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JO</w:t>
            </w:r>
          </w:p>
        </w:tc>
      </w:tr>
      <w:tr>
        <w:trPr>
          <w:cantSplit/>
        </w:trPr>
        <w:tc>
          <w:tcPr>
            <w:tcW w:w="57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R-04</w:t>
            </w:r>
          </w:p>
        </w:tc>
        <w:tc>
          <w:tcPr>
            <w:tcW w:w="22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Baja adopción de la reserva online por los clientes</w:t>
            </w:r>
          </w:p>
        </w:tc>
        <w:tc>
          <w:tcPr>
            <w:tcW w:w="9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Negocio</w:t>
            </w:r>
          </w:p>
        </w:tc>
        <w:tc>
          <w:tcPr>
            <w:tcW w:w="3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3</w:t>
            </w:r>
          </w:p>
        </w:tc>
        <w:tc>
          <w:tcPr>
            <w:tcW w:w="3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3</w:t>
            </w:r>
          </w:p>
        </w:tc>
        <w:tc>
          <w:tcPr>
            <w:tcW w:w="855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Medio (9)</w:t>
            </w:r>
          </w:p>
        </w:tc>
        <w:tc>
          <w:tcPr>
            <w:tcW w:w="294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Mitigar: Pop-up de invitado con beneficio, reserva en menos de 60 s, cupón de bienvenida y difusión en el local.</w:t>
            </w:r>
          </w:p>
        </w:tc>
        <w:tc>
          <w:tcPr>
            <w:tcW w:w="114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Dueño/a / YR</w:t>
            </w:r>
          </w:p>
        </w:tc>
      </w:tr>
      <w:tr>
        <w:trPr>
          <w:cantSplit/>
        </w:trPr>
        <w:tc>
          <w:tcPr>
            <w:tcW w:w="57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R-05</w:t>
            </w:r>
          </w:p>
        </w:tc>
        <w:tc>
          <w:tcPr>
            <w:tcW w:w="22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Fallas o demoras en la integración con la pasarela de pago (al 30-10-2026 el pago funciona desde la web en el ambiente de integración de Transbank)</w:t>
            </w:r>
          </w:p>
        </w:tc>
        <w:tc>
          <w:tcPr>
            <w:tcW w:w="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Técnico</w:t>
            </w:r>
          </w:p>
        </w:tc>
        <w:tc>
          <w:tcPr>
            <w:tcW w:w="3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2</w:t>
            </w:r>
          </w:p>
        </w:tc>
        <w:tc>
          <w:tcPr>
            <w:tcW w:w="3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4</w:t>
            </w:r>
          </w:p>
        </w:tc>
        <w:tc>
          <w:tcPr>
            <w:tcW w:w="855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Medio (8)</w:t>
            </w:r>
          </w:p>
        </w:tc>
        <w:tc>
          <w:tcPr>
            <w:tcW w:w="29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Mitigar: Ambiente de integración de Transbank desde el 19-10; pago probado desde la web (27-10-2026); probarlo desde la app en un teléfono; pruebas de casos de rechazo; alternativa Mercado Pago.</w:t>
            </w:r>
          </w:p>
        </w:tc>
        <w:tc>
          <w:tcPr>
            <w:tcW w:w="11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JO</w:t>
            </w:r>
          </w:p>
        </w:tc>
      </w:tr>
      <w:tr>
        <w:trPr>
          <w:cantSplit/>
        </w:trPr>
        <w:tc>
          <w:tcPr>
            <w:tcW w:w="57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R-06</w:t>
            </w:r>
          </w:p>
        </w:tc>
        <w:tc>
          <w:tcPr>
            <w:tcW w:w="22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Resistencia del personal a dejar la planilla Excel</w:t>
            </w:r>
          </w:p>
        </w:tc>
        <w:tc>
          <w:tcPr>
            <w:tcW w:w="9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Organizacional</w:t>
            </w:r>
          </w:p>
        </w:tc>
        <w:tc>
          <w:tcPr>
            <w:tcW w:w="3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3</w:t>
            </w:r>
          </w:p>
        </w:tc>
        <w:tc>
          <w:tcPr>
            <w:tcW w:w="3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3</w:t>
            </w:r>
          </w:p>
        </w:tc>
        <w:tc>
          <w:tcPr>
            <w:tcW w:w="855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Medio (9)</w:t>
            </w:r>
          </w:p>
        </w:tc>
        <w:tc>
          <w:tcPr>
            <w:tcW w:w="294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Mitigar: Capacitación de 30 min, guía rápida, registro de atención en 3 toques y marcha blanca acompañada.</w:t>
            </w:r>
          </w:p>
        </w:tc>
        <w:tc>
          <w:tcPr>
            <w:tcW w:w="114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YR</w:t>
            </w:r>
          </w:p>
        </w:tc>
      </w:tr>
      <w:tr>
        <w:trPr>
          <w:cantSplit/>
        </w:trPr>
        <w:tc>
          <w:tcPr>
            <w:tcW w:w="57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R-07</w:t>
            </w:r>
          </w:p>
        </w:tc>
        <w:tc>
          <w:tcPr>
            <w:tcW w:w="22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Comisión mínima de la pasarela eleva el costo del abono a 3,7–5,7%</w:t>
            </w:r>
          </w:p>
        </w:tc>
        <w:tc>
          <w:tcPr>
            <w:tcW w:w="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Financiero</w:t>
            </w:r>
          </w:p>
        </w:tc>
        <w:tc>
          <w:tcPr>
            <w:tcW w:w="3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5</w:t>
            </w:r>
          </w:p>
        </w:tc>
        <w:tc>
          <w:tcPr>
            <w:tcW w:w="3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2</w:t>
            </w:r>
          </w:p>
        </w:tc>
        <w:tc>
          <w:tcPr>
            <w:tcW w:w="855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Medio (10)</w:t>
            </w:r>
          </w:p>
        </w:tc>
        <w:tc>
          <w:tcPr>
            <w:tcW w:w="29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Aceptar: Monto de abono parametrizable; evaluar Mercado Pago; informar al dueño/a.</w:t>
            </w:r>
          </w:p>
        </w:tc>
        <w:tc>
          <w:tcPr>
            <w:tcW w:w="11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Dueño/a</w:t>
            </w:r>
          </w:p>
        </w:tc>
      </w:tr>
      <w:tr>
        <w:trPr>
          <w:cantSplit/>
        </w:trPr>
        <w:tc>
          <w:tcPr>
            <w:tcW w:w="57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R-08</w:t>
            </w:r>
          </w:p>
        </w:tc>
        <w:tc>
          <w:tcPr>
            <w:tcW w:w="22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Pérdida de datos por falla del servidor o del proveedor de base de datos</w:t>
            </w:r>
          </w:p>
        </w:tc>
        <w:tc>
          <w:tcPr>
            <w:tcW w:w="9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Continuidad</w:t>
            </w:r>
          </w:p>
        </w:tc>
        <w:tc>
          <w:tcPr>
            <w:tcW w:w="3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2</w:t>
            </w:r>
          </w:p>
        </w:tc>
        <w:tc>
          <w:tcPr>
            <w:tcW w:w="3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5</w:t>
            </w:r>
          </w:p>
        </w:tc>
        <w:tc>
          <w:tcPr>
            <w:tcW w:w="855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Medio (10)</w:t>
            </w:r>
          </w:p>
        </w:tc>
        <w:tc>
          <w:tcPr>
            <w:tcW w:w="294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Mitigar: Respaldo diario cifrado con 30 días de retención, prueba de restauración trimestral (RPO 24 h, RTO 4 h). En Supabase, el plan Free no incluye respaldos y el Pro los conserva 7 días: se agrega un respaldo lógico diario propio (pg_dump cifrado) para cubrir los 30 días. Al 30-10-2026 el script de respaldo está listo; falta instalar pg_dump y programarlo (S13).</w:t>
            </w:r>
          </w:p>
        </w:tc>
        <w:tc>
          <w:tcPr>
            <w:tcW w:w="114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JO</w:t>
            </w:r>
          </w:p>
        </w:tc>
      </w:tr>
      <w:tr>
        <w:trPr>
          <w:cantSplit/>
        </w:trPr>
        <w:tc>
          <w:tcPr>
            <w:tcW w:w="57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R-09</w:t>
            </w:r>
          </w:p>
        </w:tc>
        <w:tc>
          <w:tcPr>
            <w:tcW w:w="22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Transferencia internacional de datos: la base de datos está alojada en Supabase (EE. UU.)</w:t>
            </w:r>
          </w:p>
        </w:tc>
        <w:tc>
          <w:tcPr>
            <w:tcW w:w="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Legal</w:t>
            </w:r>
          </w:p>
        </w:tc>
        <w:tc>
          <w:tcPr>
            <w:tcW w:w="3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2</w:t>
            </w:r>
          </w:p>
        </w:tc>
        <w:tc>
          <w:tcPr>
            <w:tcW w:w="3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3</w:t>
            </w:r>
          </w:p>
        </w:tc>
        <w:tc>
          <w:tcPr>
            <w:tcW w:w="855" w:type="dxa"/>
            <w:shd w:val="clear" w:color="auto" w:fill="D4ED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Bajo (6)</w:t>
            </w:r>
          </w:p>
        </w:tc>
        <w:tc>
          <w:tcPr>
            <w:tcW w:w="29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Mitigar: declarar la transferencia en la Política de Privacidad y en el RAT; respaldarla con el acuerdo de tratamiento de datos (DPA) del proveedor; evaluar una región en Chile al escalar.</w:t>
            </w:r>
          </w:p>
        </w:tc>
        <w:tc>
          <w:tcPr>
            <w:tcW w:w="11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Dueño/a</w:t>
            </w:r>
          </w:p>
        </w:tc>
      </w:tr>
      <w:tr>
        <w:trPr>
          <w:cantSplit/>
        </w:trPr>
        <w:tc>
          <w:tcPr>
            <w:tcW w:w="57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R-10</w:t>
            </w:r>
          </w:p>
        </w:tc>
        <w:tc>
          <w:tcPr>
            <w:tcW w:w="22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Supuestos de demanda, servicio de los clientes perdidos y no-show incorrectos (KPIs y ROI sobre o subestimados)</w:t>
            </w:r>
          </w:p>
        </w:tc>
        <w:tc>
          <w:tcPr>
            <w:tcW w:w="9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Negocio</w:t>
            </w:r>
          </w:p>
        </w:tc>
        <w:tc>
          <w:tcPr>
            <w:tcW w:w="3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3</w:t>
            </w:r>
          </w:p>
        </w:tc>
        <w:tc>
          <w:tcPr>
            <w:tcW w:w="3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3</w:t>
            </w:r>
          </w:p>
        </w:tc>
        <w:tc>
          <w:tcPr>
            <w:tcW w:w="855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Medio (9)</w:t>
            </w:r>
          </w:p>
        </w:tc>
        <w:tc>
          <w:tcPr>
            <w:tcW w:w="294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Mitigar: Validar supuestos con el dueño/a; análisis de sensibilidad del precio (Barba a S. Completo); medir abandono y ticket reales desde la marcha blanca.</w:t>
            </w:r>
          </w:p>
        </w:tc>
        <w:tc>
          <w:tcPr>
            <w:tcW w:w="114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YR</w:t>
            </w:r>
          </w:p>
        </w:tc>
      </w:tr>
      <w:tr>
        <w:trPr>
          <w:cantSplit/>
        </w:trPr>
        <w:tc>
          <w:tcPr>
            <w:tcW w:w="57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R-11</w:t>
            </w:r>
          </w:p>
        </w:tc>
        <w:tc>
          <w:tcPr>
            <w:tcW w:w="22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Doble reserva del mismo horario por concurrencia</w:t>
            </w:r>
          </w:p>
        </w:tc>
        <w:tc>
          <w:tcPr>
            <w:tcW w:w="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Técnico</w:t>
            </w:r>
          </w:p>
        </w:tc>
        <w:tc>
          <w:tcPr>
            <w:tcW w:w="3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2</w:t>
            </w:r>
          </w:p>
        </w:tc>
        <w:tc>
          <w:tcPr>
            <w:tcW w:w="3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4</w:t>
            </w:r>
          </w:p>
        </w:tc>
        <w:tc>
          <w:tcPr>
            <w:tcW w:w="855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Medio (8)</w:t>
            </w:r>
          </w:p>
        </w:tc>
        <w:tc>
          <w:tcPr>
            <w:tcW w:w="29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Evitar: Restricción de exclusión en PostgreSQL (verificada) y manejo del error 409 en la interfaz.</w:t>
            </w:r>
          </w:p>
        </w:tc>
        <w:tc>
          <w:tcPr>
            <w:tcW w:w="11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JO</w:t>
            </w:r>
          </w:p>
        </w:tc>
      </w:tr>
      <w:tr>
        <w:trPr>
          <w:cantSplit/>
        </w:trPr>
        <w:tc>
          <w:tcPr>
            <w:tcW w:w="57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R-12</w:t>
            </w:r>
          </w:p>
        </w:tc>
        <w:tc>
          <w:tcPr>
            <w:tcW w:w="22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Postergación de la Ley N° 21.719 a diciembre de 2027 (proyecto de ley en trámite)</w:t>
            </w:r>
          </w:p>
        </w:tc>
        <w:tc>
          <w:tcPr>
            <w:tcW w:w="9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Regulatorio</w:t>
            </w:r>
          </w:p>
        </w:tc>
        <w:tc>
          <w:tcPr>
            <w:tcW w:w="3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3</w:t>
            </w:r>
          </w:p>
        </w:tc>
        <w:tc>
          <w:tcPr>
            <w:tcW w:w="38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1</w:t>
            </w:r>
          </w:p>
        </w:tc>
        <w:tc>
          <w:tcPr>
            <w:tcW w:w="855" w:type="dxa"/>
            <w:shd w:val="clear" w:color="auto" w:fill="D4ED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Bajo (3)</w:t>
            </w:r>
          </w:p>
        </w:tc>
        <w:tc>
          <w:tcPr>
            <w:tcW w:w="294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Aceptar: Sin impacto en el producto: ya cumple; se mantiene como valor agregado.</w:t>
            </w:r>
          </w:p>
        </w:tc>
        <w:tc>
          <w:tcPr>
            <w:tcW w:w="114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YR</w:t>
            </w:r>
          </w:p>
        </w:tc>
      </w:tr>
      <w:tr>
        <w:trPr>
          <w:cantSplit/>
        </w:trPr>
        <w:tc>
          <w:tcPr>
            <w:tcW w:w="57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R-13</w:t>
            </w:r>
          </w:p>
        </w:tc>
        <w:tc>
          <w:tcPr>
            <w:tcW w:w="22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Disponibilidad limitada del equipo (2 integrantes, carga académica)</w:t>
            </w:r>
          </w:p>
        </w:tc>
        <w:tc>
          <w:tcPr>
            <w:tcW w:w="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Recursos</w:t>
            </w:r>
          </w:p>
        </w:tc>
        <w:tc>
          <w:tcPr>
            <w:tcW w:w="3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3</w:t>
            </w:r>
          </w:p>
        </w:tc>
        <w:tc>
          <w:tcPr>
            <w:tcW w:w="3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3</w:t>
            </w:r>
          </w:p>
        </w:tc>
        <w:tc>
          <w:tcPr>
            <w:tcW w:w="855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Medio (9)</w:t>
            </w:r>
          </w:p>
        </w:tc>
        <w:tc>
          <w:tcPr>
            <w:tcW w:w="29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Mitigar: Reunión semanal fija, tareas pequeñas en tablero, trabajo asíncrono vía GitHub.</w:t>
            </w:r>
          </w:p>
        </w:tc>
        <w:tc>
          <w:tcPr>
            <w:tcW w:w="11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YR</w:t>
            </w:r>
          </w:p>
        </w:tc>
      </w:tr>
      <w:tr>
        <w:trPr>
          <w:cantSplit/>
        </w:trPr>
        <w:tc>
          <w:tcPr>
            <w:tcW w:w="57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R-14</w:t>
            </w:r>
          </w:p>
        </w:tc>
        <w:tc>
          <w:tcPr>
            <w:tcW w:w="22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Acceso público a las tablas del prototipo en Supabase (RLS permisivo para la clave pública). CERRADO el 22-10-2026</w:t>
            </w:r>
          </w:p>
        </w:tc>
        <w:tc>
          <w:tcPr>
            <w:tcW w:w="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Seguridad</w:t>
            </w:r>
          </w:p>
        </w:tc>
        <w:tc>
          <w:tcPr>
            <w:tcW w:w="3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3</w:t>
            </w:r>
          </w:p>
        </w:tc>
        <w:tc>
          <w:tcPr>
            <w:tcW w:w="3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4</w:t>
            </w:r>
          </w:p>
        </w:tc>
        <w:tc>
          <w:tcPr>
            <w:tcW w:w="855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Cerrado</w:t>
            </w:r>
          </w:p>
        </w:tc>
        <w:tc>
          <w:tcPr>
            <w:tcW w:w="29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Evitar: el 22-10-2026 se eliminaron las 7 tablas del prototipo; la web y la app usan funciones api_* y las tablas siguen cerradas a la clave pública (RLS).</w:t>
            </w:r>
          </w:p>
        </w:tc>
        <w:tc>
          <w:tcPr>
            <w:tcW w:w="11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JO</w:t>
            </w:r>
          </w:p>
        </w:tc>
      </w:tr>
      <w:tr>
        <w:trPr>
          <w:cantSplit/>
        </w:trPr>
        <w:tc>
          <w:tcPr>
            <w:tcW w:w="57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R-15</w:t>
            </w:r>
          </w:p>
        </w:tc>
        <w:tc>
          <w:tcPr>
            <w:tcW w:w="22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Ventana corta para desplegar y pasar al ambiente UAT (S13–S14)</w:t>
            </w:r>
          </w:p>
        </w:tc>
        <w:tc>
          <w:tcPr>
            <w:tcW w:w="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Cronograma</w:t>
            </w:r>
          </w:p>
        </w:tc>
        <w:tc>
          <w:tcPr>
            <w:tcW w:w="3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3</w:t>
            </w:r>
          </w:p>
        </w:tc>
        <w:tc>
          <w:tcPr>
            <w:tcW w:w="3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3</w:t>
            </w:r>
          </w:p>
        </w:tc>
        <w:tc>
          <w:tcPr>
            <w:tcW w:w="855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Medio (9)</w:t>
            </w:r>
          </w:p>
        </w:tc>
        <w:tc>
          <w:tcPr>
            <w:tcW w:w="29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Mitigar: web publicada en el ambiente UAT (GitHub Pages, 28-10-2026); APK firmada en S13; lista de verificación de despliegue; pruebas de humo antes del paso al ambiente UAT (H7, 10-11-2026).</w:t>
            </w:r>
          </w:p>
        </w:tc>
        <w:tc>
          <w:tcPr>
            <w:tcW w:w="11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YR / JO</w:t>
            </w:r>
          </w:p>
        </w:tc>
      </w:tr>
      <w:tr>
        <w:trPr>
          <w:cantSplit/>
        </w:trPr>
        <w:tc>
          <w:tcPr>
            <w:tcW w:w="57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R-16</w:t>
            </w:r>
          </w:p>
        </w:tc>
        <w:tc>
          <w:tcPr>
            <w:tcW w:w="22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La app Android aún no se prueba en un teléfono real (al 30-10-2026 compila y se probó en el emulador)</w:t>
            </w:r>
          </w:p>
        </w:tc>
        <w:tc>
          <w:tcPr>
            <w:tcW w:w="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Técnico</w:t>
            </w:r>
          </w:p>
        </w:tc>
        <w:tc>
          <w:tcPr>
            <w:tcW w:w="3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3</w:t>
            </w:r>
          </w:p>
        </w:tc>
        <w:tc>
          <w:tcPr>
            <w:tcW w:w="3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3</w:t>
            </w:r>
          </w:p>
        </w:tc>
        <w:tc>
          <w:tcPr>
            <w:tcW w:w="855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Medio (9)</w:t>
            </w:r>
          </w:p>
        </w:tc>
        <w:tc>
          <w:tcPr>
            <w:tcW w:w="29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Mitigar: APK de prueba lista (28-10-2026); prueba con pago Webpay en un teléfono Android en S12; APK firmada en S13.</w:t>
            </w:r>
          </w:p>
        </w:tc>
        <w:tc>
          <w:tcPr>
            <w:tcW w:w="11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JO</w:t>
            </w:r>
          </w:p>
        </w:tc>
      </w:tr>
      <w:tr>
        <w:trPr>
          <w:cantSplit/>
        </w:trPr>
        <w:tc>
          <w:tcPr>
            <w:tcW w:w="57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R-17</w:t>
            </w:r>
          </w:p>
        </w:tc>
        <w:tc>
          <w:tcPr>
            <w:tcW w:w="22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Notificaciones por correo no operativas (la cola de correos del servidor está lista; la cuenta de envío del proyecto requiere verificación)</w:t>
            </w:r>
          </w:p>
        </w:tc>
        <w:tc>
          <w:tcPr>
            <w:tcW w:w="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Técnico</w:t>
            </w:r>
          </w:p>
        </w:tc>
        <w:tc>
          <w:tcPr>
            <w:tcW w:w="3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3</w:t>
            </w:r>
          </w:p>
        </w:tc>
        <w:tc>
          <w:tcPr>
            <w:tcW w:w="3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3</w:t>
            </w:r>
          </w:p>
        </w:tc>
        <w:tc>
          <w:tcPr>
            <w:tcW w:w="855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Medio (9)</w:t>
            </w:r>
          </w:p>
        </w:tc>
        <w:tc>
          <w:tcPr>
            <w:tcW w:w="29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Mitigar: verificar la cuenta de correo del proyecto y probar los correos de confirmación y recordatorio en S13.</w:t>
            </w:r>
          </w:p>
        </w:tc>
        <w:tc>
          <w:tcPr>
            <w:tcW w:w="11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JO</w:t>
            </w:r>
          </w:p>
        </w:tc>
      </w:tr>
      <w:tr>
        <w:trPr>
          <w:cantSplit/>
        </w:trPr>
        <w:tc>
          <w:tcPr>
            <w:tcW w:w="57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R-18</w:t>
            </w:r>
          </w:p>
        </w:tc>
        <w:tc>
          <w:tcPr>
            <w:tcW w:w="22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Las pruebas y el ambiente UAT usan la misma base de datos en Supabase (los datos de prueba pueden mezclarse con los del UAT)</w:t>
            </w:r>
          </w:p>
        </w:tc>
        <w:tc>
          <w:tcPr>
            <w:tcW w:w="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Técnico</w:t>
            </w:r>
          </w:p>
        </w:tc>
        <w:tc>
          <w:tcPr>
            <w:tcW w:w="3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3</w:t>
            </w:r>
          </w:p>
        </w:tc>
        <w:tc>
          <w:tcPr>
            <w:tcW w:w="3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3</w:t>
            </w:r>
          </w:p>
        </w:tc>
        <w:tc>
          <w:tcPr>
            <w:tcW w:w="855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Medio (9)</w:t>
            </w:r>
          </w:p>
        </w:tc>
        <w:tc>
          <w:tcPr>
            <w:tcW w:w="29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Mitigar: pruebas automáticas dentro de una transacción que se deshace (rollback); limpieza de los datos de prueba antes del paso al ambiente UAT (H7); evaluar un proyecto aparte para el UAT.</w:t>
            </w:r>
          </w:p>
        </w:tc>
        <w:tc>
          <w:tcPr>
            <w:tcW w:w="11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JO</w:t>
            </w:r>
          </w:p>
        </w:tc>
      </w:tr>
    </w:tbl>
    <w:p>
      <w:pPr>
        <w:spacing w:before="0" w:after="60"/>
      </w:pP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4. Matriz de Probabilidad e Impacto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2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Matriz de Probabilidad e Impacto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900"/>
        <w:gridCol w:w="1520"/>
        <w:gridCol w:w="1520"/>
        <w:gridCol w:w="1520"/>
        <w:gridCol w:w="1520"/>
        <w:gridCol w:w="1520"/>
      </w:tblGrid>
      <w:tr>
        <w:trPr>
          <w:tblHeader/>
        </w:trPr>
        <w:tc>
          <w:tcPr>
            <w:tcW w:w="19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Probabilidad \ Impacto</w:t>
            </w:r>
          </w:p>
        </w:tc>
        <w:tc>
          <w:tcPr>
            <w:tcW w:w="152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I = 1</w:t>
            </w:r>
          </w:p>
        </w:tc>
        <w:tc>
          <w:tcPr>
            <w:tcW w:w="152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I = 2</w:t>
            </w:r>
          </w:p>
        </w:tc>
        <w:tc>
          <w:tcPr>
            <w:tcW w:w="152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I = 3</w:t>
            </w:r>
          </w:p>
        </w:tc>
        <w:tc>
          <w:tcPr>
            <w:tcW w:w="152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I = 4</w:t>
            </w:r>
          </w:p>
        </w:tc>
        <w:tc>
          <w:tcPr>
            <w:tcW w:w="152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I = 5</w:t>
            </w:r>
          </w:p>
        </w:tc>
      </w:tr>
      <w:tr>
        <w:trPr>
          <w:cantSplit/>
        </w:trPr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 = 5</w:t>
            </w:r>
          </w:p>
        </w:tc>
        <w:tc>
          <w:tcPr>
            <w:tcW w:w="1520" w:type="dxa"/>
            <w:shd w:val="clear" w:color="auto" w:fill="D4ED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/>
          </w:p>
        </w:tc>
        <w:tc>
          <w:tcPr>
            <w:tcW w:w="1520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R-07</w:t>
            </w:r>
          </w:p>
        </w:tc>
        <w:tc>
          <w:tcPr>
            <w:tcW w:w="1520" w:type="dxa"/>
            <w:shd w:val="clear" w:color="auto" w:fill="F8D7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/>
          </w:p>
        </w:tc>
        <w:tc>
          <w:tcPr>
            <w:tcW w:w="1520" w:type="dxa"/>
            <w:shd w:val="clear" w:color="auto" w:fill="F8D7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/>
          </w:p>
        </w:tc>
        <w:tc>
          <w:tcPr>
            <w:tcW w:w="1520" w:type="dxa"/>
            <w:shd w:val="clear" w:color="auto" w:fill="F8D7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/>
          </w:p>
        </w:tc>
      </w:tr>
      <w:tr>
        <w:trPr>
          <w:cantSplit/>
        </w:trPr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 = 4</w:t>
            </w:r>
          </w:p>
        </w:tc>
        <w:tc>
          <w:tcPr>
            <w:tcW w:w="1520" w:type="dxa"/>
            <w:shd w:val="clear" w:color="auto" w:fill="D4ED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/>
          </w:p>
        </w:tc>
        <w:tc>
          <w:tcPr>
            <w:tcW w:w="1520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/>
          </w:p>
        </w:tc>
        <w:tc>
          <w:tcPr>
            <w:tcW w:w="1520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/>
          </w:p>
        </w:tc>
        <w:tc>
          <w:tcPr>
            <w:tcW w:w="1520" w:type="dxa"/>
            <w:shd w:val="clear" w:color="auto" w:fill="F8D7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</w:r>
          </w:p>
        </w:tc>
        <w:tc>
          <w:tcPr>
            <w:tcW w:w="1520" w:type="dxa"/>
            <w:shd w:val="clear" w:color="auto" w:fill="F8D7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/>
          </w:p>
        </w:tc>
      </w:tr>
      <w:tr>
        <w:trPr>
          <w:cantSplit/>
        </w:trPr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 = 3</w:t>
            </w:r>
          </w:p>
        </w:tc>
        <w:tc>
          <w:tcPr>
            <w:tcW w:w="1520" w:type="dxa"/>
            <w:shd w:val="clear" w:color="auto" w:fill="D4ED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R-12</w:t>
            </w:r>
          </w:p>
        </w:tc>
        <w:tc>
          <w:tcPr>
            <w:tcW w:w="1520" w:type="dxa"/>
            <w:shd w:val="clear" w:color="auto" w:fill="D4ED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/>
          </w:p>
        </w:tc>
        <w:tc>
          <w:tcPr>
            <w:tcW w:w="1520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R-04, R-06, R-10, R-13, R-15, R-16, R-17, R-18</w:t>
            </w:r>
          </w:p>
        </w:tc>
        <w:tc>
          <w:tcPr>
            <w:tcW w:w="1520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</w:r>
          </w:p>
        </w:tc>
        <w:tc>
          <w:tcPr>
            <w:tcW w:w="1520" w:type="dxa"/>
            <w:shd w:val="clear" w:color="auto" w:fill="F8D7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 = 2</w:t>
            </w:r>
          </w:p>
        </w:tc>
        <w:tc>
          <w:tcPr>
            <w:tcW w:w="1520" w:type="dxa"/>
            <w:shd w:val="clear" w:color="auto" w:fill="D4ED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/>
          </w:p>
        </w:tc>
        <w:tc>
          <w:tcPr>
            <w:tcW w:w="1520" w:type="dxa"/>
            <w:shd w:val="clear" w:color="auto" w:fill="D4ED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/>
          </w:p>
        </w:tc>
        <w:tc>
          <w:tcPr>
            <w:tcW w:w="1520" w:type="dxa"/>
            <w:shd w:val="clear" w:color="auto" w:fill="D4ED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R-09</w:t>
            </w:r>
          </w:p>
        </w:tc>
        <w:tc>
          <w:tcPr>
            <w:tcW w:w="1520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R-02, R-05, R-11</w:t>
            </w:r>
          </w:p>
        </w:tc>
        <w:tc>
          <w:tcPr>
            <w:tcW w:w="1520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R-01, R-03, R-08</w:t>
            </w:r>
          </w:p>
        </w:tc>
      </w:tr>
      <w:tr>
        <w:trPr>
          <w:cantSplit/>
        </w:trPr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 = 1</w:t>
            </w:r>
          </w:p>
        </w:tc>
        <w:tc>
          <w:tcPr>
            <w:tcW w:w="1520" w:type="dxa"/>
            <w:shd w:val="clear" w:color="auto" w:fill="D4ED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/>
          </w:p>
        </w:tc>
        <w:tc>
          <w:tcPr>
            <w:tcW w:w="1520" w:type="dxa"/>
            <w:shd w:val="clear" w:color="auto" w:fill="D4ED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/>
          </w:p>
        </w:tc>
        <w:tc>
          <w:tcPr>
            <w:tcW w:w="1520" w:type="dxa"/>
            <w:shd w:val="clear" w:color="auto" w:fill="D4ED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/>
          </w:p>
        </w:tc>
        <w:tc>
          <w:tcPr>
            <w:tcW w:w="1520" w:type="dxa"/>
            <w:shd w:val="clear" w:color="auto" w:fill="D4ED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/>
          </w:p>
        </w:tc>
        <w:tc>
          <w:tcPr>
            <w:tcW w:w="1520" w:type="dxa"/>
            <w:shd w:val="clear" w:color="auto" w:fill="D4ED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/>
          </w:p>
        </w:tc>
      </w:tr>
    </w:tbl>
    <w:p>
      <w:pPr>
        <w:spacing w:before="0" w:after="60"/>
      </w:pP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5. Riesgo Regulatorio y Valor del Cumplimiento Anticipado</w:t>
      </w:r>
    </w:p>
    <w:p>
      <w:pPr>
        <w:spacing w:before="0" w:after="120" w:line="276" w:lineRule="auto"/>
        <w:jc w:val="both"/>
      </w:pPr>
      <w:r>
        <w:rPr>
          <w:rFonts w:ascii="Arial" w:hAnsi="Arial" w:cs="Arial" w:eastAsia="Arial"/>
          <w:sz w:val="22"/>
          <w:szCs w:val="22"/>
        </w:rPr>
        <w:t xml:space="preserve">La Ley N° 21.719 entra en plena vigencia el 1 de diciembre de 2026, tres semanas después de la entrega del proyecto. Un sistema que no cumpla quedaría expuesto a sanciones desde su primer mes de operación. Al diseñar el sistema cumpliendo desde su lanzamiento, el riesgo R-01 se trata con la estrategia </w:t>
      </w:r>
      <w:r>
        <w:rPr>
          <w:rFonts w:ascii="Arial" w:hAnsi="Arial" w:cs="Arial" w:eastAsia="Arial"/>
          <w:b/>
          <w:bCs/>
          <w:sz w:val="22"/>
          <w:szCs w:val="22"/>
        </w:rPr>
        <w:t>evitar</w:t>
      </w:r>
      <w:r>
        <w:rPr>
          <w:rFonts w:ascii="Arial" w:hAnsi="Arial" w:cs="Arial" w:eastAsia="Arial"/>
          <w:sz w:val="22"/>
          <w:szCs w:val="22"/>
        </w:rPr>
        <w:t>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3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Riesgo de sanciones evitado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4275"/>
        <w:gridCol w:w="1900"/>
        <w:gridCol w:w="3325"/>
      </w:tblGrid>
      <w:tr>
        <w:trPr>
          <w:tblHeader/>
        </w:trPr>
        <w:tc>
          <w:tcPr>
            <w:tcW w:w="427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Tipo de infracción (régimen sancionatorio, art. 35 — Ley N° 21.719)</w:t>
            </w:r>
          </w:p>
        </w:tc>
        <w:tc>
          <w:tcPr>
            <w:tcW w:w="19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Multa máxima</w:t>
            </w:r>
          </w:p>
        </w:tc>
        <w:tc>
          <w:tcPr>
            <w:tcW w:w="33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Equivalente en CLP (UTM oct-2026 = $72.151)</w:t>
            </w:r>
          </w:p>
        </w:tc>
      </w:tr>
      <w:tr>
        <w:trPr>
          <w:cantSplit/>
        </w:trPr>
        <w:tc>
          <w:tcPr>
            <w:tcW w:w="42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Leve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5.000 UTM</w:t>
            </w:r>
          </w:p>
        </w:tc>
        <w:tc>
          <w:tcPr>
            <w:tcW w:w="33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$360.755.000</w:t>
            </w:r>
          </w:p>
        </w:tc>
      </w:tr>
      <w:tr>
        <w:trPr>
          <w:cantSplit/>
        </w:trPr>
        <w:tc>
          <w:tcPr>
            <w:tcW w:w="42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Grave</w:t>
            </w:r>
          </w:p>
        </w:tc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10.000 UTM</w:t>
            </w:r>
          </w:p>
        </w:tc>
        <w:tc>
          <w:tcPr>
            <w:tcW w:w="33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$721.510.000</w:t>
            </w:r>
          </w:p>
        </w:tc>
      </w:tr>
      <w:tr>
        <w:trPr>
          <w:cantSplit/>
        </w:trPr>
        <w:tc>
          <w:tcPr>
            <w:tcW w:w="42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Gravísima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20.000 UTM</w:t>
            </w:r>
          </w:p>
        </w:tc>
        <w:tc>
          <w:tcPr>
            <w:tcW w:w="33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$1.443.020.000</w:t>
            </w:r>
          </w:p>
        </w:tc>
      </w:tr>
    </w:tbl>
    <w:p>
      <w:pPr>
        <w:spacing w:before="0" w:after="60"/>
      </w:pPr>
    </w:p>
    <w:p>
      <w:pPr>
        <w:spacing w:before="60" w:after="160" w:line="252" w:lineRule="auto"/>
      </w:pPr>
      <w:r>
        <w:rPr>
          <w:rFonts w:ascii="Arial" w:hAnsi="Arial" w:cs="Arial" w:eastAsia="Arial"/>
          <w:i/>
          <w:iCs/>
          <w:sz w:val="19"/>
          <w:szCs w:val="19"/>
        </w:rPr>
        <w:t xml:space="preserve">Nota. </w:t>
      </w:r>
      <w:r>
        <w:rPr>
          <w:rFonts w:ascii="Arial" w:hAnsi="Arial" w:cs="Arial" w:eastAsia="Arial"/>
          <w:sz w:val="19"/>
          <w:szCs w:val="19"/>
        </w:rPr>
        <w:t>Montos máximos del régimen sancionatorio (Ley N° 21.719, 2024), convertidos con la UTM de octubre de 2026, $72.151 (SII, 2026a). En caso de reincidencia, para empresas que no son de menor tamaño, la multa puede triplicarse o alcanzar el 2% (graves) o 4% (gravísimas) de los ingresos anuales. Durante los primeros 12 meses de vigencia, las empresas de menor tamaño pueden recibir amonestación escrita en lugar de multa (art. 6° transitorio).</w:t>
      </w:r>
    </w:p>
    <w:p>
      <w:pPr>
        <w:spacing w:before="0" w:after="120" w:line="276" w:lineRule="auto"/>
        <w:jc w:val="both"/>
      </w:pPr>
      <w:r>
        <w:rPr>
          <w:rFonts w:ascii="Arial" w:hAnsi="Arial" w:cs="Arial" w:eastAsia="Arial"/>
          <w:sz w:val="22"/>
          <w:szCs w:val="22"/>
        </w:rPr>
        <w:t>El proyecto de ley que propone postergar la vigencia al 1 de diciembre de 2027 (ingresado al Senado el 1 de septiembre de 2026; Carey Abogados, 2026) se menciona solo como contexto: no afecta al producto, porque ya cumple (R-12).</w:t>
      </w: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6. Seguimiento</w:t>
      </w:r>
    </w:p>
    <w:p>
      <w:pPr>
        <w:spacing w:before="0" w:after="120" w:line="276" w:lineRule="auto"/>
        <w:jc w:val="both"/>
      </w:pPr>
      <w:r>
        <w:rPr>
          <w:rFonts w:ascii="Arial" w:hAnsi="Arial" w:cs="Arial" w:eastAsia="Arial"/>
          <w:sz w:val="22"/>
          <w:szCs w:val="22"/>
        </w:rPr>
        <w:t>Responsable del plan: Jefe de Proyecto. Revisión semanal; los cambios de nivel se registran en el Informe de Estado de Avance (12). Cada riesgo conserva su ID (R-NN) durante todo el proyecto: el ID no se reutiliza ni se renumera, y las presentaciones de seguimiento, el roadmap y la matriz 3 × 3 usan esos mismos ID (SC-26).</w:t>
      </w: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7. Registro de Cambios de este Plan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4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Registro de Cambios de este Plan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140"/>
        <w:gridCol w:w="1710"/>
        <w:gridCol w:w="6650"/>
      </w:tblGrid>
      <w:tr>
        <w:trPr>
          <w:tblHeader/>
        </w:trPr>
        <w:tc>
          <w:tcPr>
            <w:tcW w:w="114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Versión</w:t>
            </w:r>
          </w:p>
        </w:tc>
        <w:tc>
          <w:tcPr>
            <w:tcW w:w="171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665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Descripción del cambio</w:t>
            </w:r>
          </w:p>
        </w:tc>
      </w:tr>
      <w:tr>
        <w:trPr>
          <w:cantSplit/>
        </w:trPr>
        <w:tc>
          <w:tcPr>
            <w:tcW w:w="11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1.0</w:t>
            </w:r>
          </w:p>
        </w:tc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09-10-2026</w:t>
            </w:r>
          </w:p>
        </w:tc>
        <w:tc>
          <w:tcPr>
            <w:tcW w:w="66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Versión inicial: 13 riesgos, matriz y riesgo regulatorio cuantificado.</w:t>
            </w:r>
          </w:p>
        </w:tc>
      </w:tr>
      <w:tr>
        <w:trPr>
          <w:cantSplit/>
        </w:trPr>
        <w:tc>
          <w:tcPr>
            <w:tcW w:w="11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1.1</w:t>
            </w:r>
          </w:p>
        </w:tc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22-10-2026</w:t>
            </w:r>
          </w:p>
        </w:tc>
        <w:tc>
          <w:tcPr>
            <w:tcW w:w="66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R-02 y R-08 actualizados por la implementación en Supabase; R-09 redefinido como transferencia internacional (20-10-2026); nuevo R-14 (tablas del prototipo con acceso público); R-03 actualizado (clave de correo trasladada a archivos .env). Total: 14 riesgos.</w:t>
            </w:r>
          </w:p>
        </w:tc>
      </w:tr>
      <w:tr>
        <w:trPr>
          <w:cantSplit/>
        </w:trPr>
        <w:tc>
          <w:tcPr>
            <w:tcW w:w="11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1.2</w:t>
            </w:r>
          </w:p>
        </w:tc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22-10-2026</w:t>
            </w:r>
          </w:p>
        </w:tc>
        <w:tc>
          <w:tcPr>
            <w:tcW w:w="66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R-14 cerrado (tablas del prototipo eliminadas; la web y la app usan el modelo relacional) y R-02 actualizado. Total: 14 riesgos, 13 activos.</w:t>
            </w:r>
          </w:p>
        </w:tc>
      </w:tr>
      <w:tr>
        <w:trPr>
          <w:cantSplit/>
        </w:trPr>
        <w:tc>
          <w:tcPr>
            <w:tcW w:w="11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1.3</w:t>
            </w:r>
          </w:p>
        </w:tc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23-10-2026</w:t>
            </w:r>
          </w:p>
        </w:tc>
        <w:tc>
          <w:tcPr>
            <w:tcW w:w="66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Nuevos R-15 (ventana corta para el paso al ambiente UAT), R-16 (app sin probar en un teléfono real) y R-17 (notificaciones por correo no operativas), identificados para la presentación de avance. Total: 17 riesgos, 16 activos.</w:t>
            </w:r>
          </w:p>
        </w:tc>
      </w:tr>
      <w:tr>
        <w:trPr>
          <w:cantSplit/>
        </w:trPr>
        <w:tc>
          <w:tcPr>
            <w:tcW w:w="11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1.4</w:t>
            </w:r>
          </w:p>
        </w:tc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30-10-2026</w:t>
            </w:r>
          </w:p>
        </w:tc>
        <w:tc>
          <w:tcPr>
            <w:tcW w:w="66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Seguimiento del 30-10 (H6): bajan R-02, R-03 y R-05 (integración entregada, correcciones de seguridad del 28-10 y pago probado en el ambiente de integración); se actualizan R-08, R-15, R-16 y R-17; nuevo R-18 (pruebas y ambiente UAT en la misma base de datos). Las presentaciones identifican cada riesgo con su ID fijo. Total: 18 riesgos, 17 activos.</w:t>
            </w:r>
          </w:p>
        </w:tc>
      </w:tr>
    </w:tbl>
    <w:p>
      <w:pPr>
        <w:spacing w:before="0" w:after="60"/>
      </w:pPr>
    </w:p>
    <w:p>
      <w:pPr>
        <w:pStyle w:val="Heading1"/>
        <w:keepNext/>
        <w:pageBreakBefore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Referencias</w:t>
      </w:r>
    </w:p>
    <w:p>
      <w:pPr>
        <w:spacing w:before="0" w:after="120" w:line="360" w:lineRule="auto"/>
        <w:ind w:left="720" w:hanging="720"/>
      </w:pPr>
      <w:r>
        <w:rPr>
          <w:rFonts w:ascii="Arial" w:hAnsi="Arial" w:cs="Arial" w:eastAsia="Arial"/>
          <w:sz w:val="22"/>
          <w:szCs w:val="22"/>
        </w:rPr>
        <w:t xml:space="preserve">Carey Abogados. (2026). </w:t>
      </w:r>
      <w:r>
        <w:rPr>
          <w:rFonts w:ascii="Arial" w:hAnsi="Arial" w:cs="Arial" w:eastAsia="Arial"/>
          <w:i/>
          <w:iCs/>
          <w:sz w:val="22"/>
          <w:szCs w:val="22"/>
        </w:rPr>
        <w:t>Gobierno ingresa proyecto de ley que posterga en un año entrada en vigor de la Ley 21.719 sobre Protección de Datos Personales y fortalece la institucionalidad de la Agencia de Protección de Datos Personales</w:t>
      </w:r>
      <w:r>
        <w:rPr>
          <w:rFonts w:ascii="Arial" w:hAnsi="Arial" w:cs="Arial" w:eastAsia="Arial"/>
          <w:sz w:val="22"/>
          <w:szCs w:val="22"/>
        </w:rPr>
        <w:t>. https://www.carey.cl/gobierno-ingresa-proyecto-de-ley-que-posterga-en-un-ano-entrada-en-vigor-de-la-ley-sobre-proteccion-de-datos-personales</w:t>
      </w:r>
    </w:p>
    <w:p>
      <w:pPr>
        <w:spacing w:before="0" w:after="120" w:line="360" w:lineRule="auto"/>
        <w:ind w:left="720" w:hanging="720"/>
      </w:pPr>
      <w:r>
        <w:rPr>
          <w:rFonts w:ascii="Arial" w:hAnsi="Arial" w:cs="Arial" w:eastAsia="Arial"/>
          <w:sz w:val="22"/>
          <w:szCs w:val="22"/>
        </w:rPr>
        <w:t xml:space="preserve">Ley N° 21.719. (2024, 13 de diciembre). </w:t>
      </w:r>
      <w:r>
        <w:rPr>
          <w:rFonts w:ascii="Arial" w:hAnsi="Arial" w:cs="Arial" w:eastAsia="Arial"/>
          <w:i/>
          <w:iCs/>
          <w:sz w:val="22"/>
          <w:szCs w:val="22"/>
        </w:rPr>
        <w:t>Regula la protección y el tratamiento de los datos personales y crea la Agencia de Protección de Datos Personales</w:t>
      </w:r>
      <w:r>
        <w:rPr>
          <w:rFonts w:ascii="Arial" w:hAnsi="Arial" w:cs="Arial" w:eastAsia="Arial"/>
          <w:sz w:val="22"/>
          <w:szCs w:val="22"/>
        </w:rPr>
        <w:t>. Diario Oficial de la República de Chile. https://www.bcn.cl/leychile/navegar?idNorma=1209272</w:t>
      </w:r>
    </w:p>
    <w:p>
      <w:pPr>
        <w:spacing w:before="0" w:after="120" w:line="360" w:lineRule="auto"/>
        <w:ind w:left="720" w:hanging="720"/>
      </w:pPr>
      <w:r>
        <w:rPr>
          <w:rFonts w:ascii="Arial" w:hAnsi="Arial" w:cs="Arial" w:eastAsia="Arial"/>
          <w:sz w:val="22"/>
          <w:szCs w:val="22"/>
        </w:rPr>
        <w:t xml:space="preserve">Project Management Institute [PMI]. (2021). </w:t>
      </w:r>
      <w:r>
        <w:rPr>
          <w:rFonts w:ascii="Arial" w:hAnsi="Arial" w:cs="Arial" w:eastAsia="Arial"/>
          <w:i/>
          <w:iCs/>
          <w:sz w:val="22"/>
          <w:szCs w:val="22"/>
        </w:rPr>
        <w:t>A guide to the project management body of knowledge (PMBOK® guide)</w:t>
      </w:r>
      <w:r>
        <w:rPr>
          <w:rFonts w:ascii="Arial" w:hAnsi="Arial" w:cs="Arial" w:eastAsia="Arial"/>
          <w:sz w:val="22"/>
          <w:szCs w:val="22"/>
        </w:rPr>
        <w:t xml:space="preserve"> (7.ª ed.). Project Management Institute.</w:t>
      </w:r>
    </w:p>
    <w:p>
      <w:pPr>
        <w:spacing w:before="0" w:after="120" w:line="360" w:lineRule="auto"/>
        <w:ind w:left="720" w:hanging="720"/>
      </w:pPr>
      <w:r>
        <w:rPr>
          <w:rFonts w:ascii="Arial" w:hAnsi="Arial" w:cs="Arial" w:eastAsia="Arial"/>
          <w:sz w:val="22"/>
          <w:szCs w:val="22"/>
        </w:rPr>
        <w:t xml:space="preserve">Servicio de Impuestos Internos [SII]. (2026a). </w:t>
      </w:r>
      <w:r>
        <w:rPr>
          <w:rFonts w:ascii="Arial" w:hAnsi="Arial" w:cs="Arial" w:eastAsia="Arial"/>
          <w:i/>
          <w:iCs/>
          <w:sz w:val="22"/>
          <w:szCs w:val="22"/>
        </w:rPr>
        <w:t>Unidad Tributaria Mensual (UTM) 2026</w:t>
      </w:r>
      <w:r>
        <w:rPr>
          <w:rFonts w:ascii="Arial" w:hAnsi="Arial" w:cs="Arial" w:eastAsia="Arial"/>
          <w:sz w:val="22"/>
          <w:szCs w:val="22"/>
        </w:rPr>
        <w:t>. Recuperado el 6 de octubre de 2026, de https://www.sii.cl/valores_y_fechas/utm/utm2026.htm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8"/>
        <w:szCs w:val="18"/>
      </w:rPr>
      <w:t xml:space="preserve">Página </w:t>
    </w: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88888"/>
        <w:sz w:val="16"/>
        <w:szCs w:val="16"/>
      </w:rPr>
      <w:t>Plan de Gestión de los Riesgos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Yerko Rosales, Jonathan Ojeda</dc:creator>
  <cp:lastModifiedBy>Un-named</cp:lastModifiedBy>
  <cp:revision>1</cp:revision>
  <dcterms:created xsi:type="dcterms:W3CDTF">2026-08-27T15:54:55.185Z</dcterms:created>
  <dcterms:modified xsi:type="dcterms:W3CDTF">2026-08-27T15:54:55.185Z</dcterms:modified>
  <dc:title>15_Plan_Gestion_Riesgos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