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400"/>
        <w:jc w:val="center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DUOC UC</w:t>
      </w:r>
    </w:p>
    <w:p>
      <w:pPr>
        <w:spacing w:after="600" w:before="0"/>
        <w:jc w:val="center"/>
      </w:pPr>
      <w:r>
        <w:rPr>
          <w:rFonts w:ascii="Arial" w:cs="Arial" w:eastAsia="Arial" w:hAnsi="Arial"/>
          <w:sz w:val="22"/>
          <w:szCs w:val="22"/>
        </w:rPr>
        <w:t xml:space="preserve">Escuela de Informática y Telecomunicaciones</w:t>
      </w:r>
    </w:p>
    <w:p>
      <w:pPr>
        <w:spacing w:after="200" w:before="800"/>
        <w:jc w:val="center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Plan y Casos de Prueba</w:t>
      </w:r>
    </w:p>
    <w:p>
      <w:pPr>
        <w:spacing w:after="800" w:before="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Proyecto Barbería Big-Boys</w:t>
      </w:r>
    </w:p>
    <w:p>
      <w:pPr>
        <w:spacing w:after="800" w:before="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—</w:t>
      </w:r>
    </w:p>
    <w:p>
      <w:pPr>
        <w:spacing w:after="800" w:before="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Sistema de agendamiento y gestión (web + app móvil)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Asignatura</w:t>
            </w:r>
          </w:p>
        </w:tc>
        <w:tc>
          <w:tcPr>
            <w:tcW w:type="dxa" w:w="6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PTY4614 — Capstone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Sección</w:t>
            </w:r>
          </w:p>
        </w:tc>
        <w:tc>
          <w:tcPr>
            <w:tcW w:type="dxa" w:w="6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CAPSTONE_011V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Docente</w:t>
            </w:r>
          </w:p>
        </w:tc>
        <w:tc>
          <w:tcPr>
            <w:tcW w:type="dxa" w:w="6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Fernando Herrera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Integrantes</w:t>
            </w:r>
          </w:p>
        </w:tc>
        <w:tc>
          <w:tcPr>
            <w:tcW w:type="dxa" w:w="6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Yerko Rosales (Jefe de Proyecto, Analista y Diseño UX/UI) · Jonathan Ojeda (Desarrollo Backend y Base de Datos)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Fecha de entrega</w:t>
            </w:r>
          </w:p>
        </w:tc>
        <w:tc>
          <w:tcPr>
            <w:tcW w:type="dxa" w:w="6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18 de octubre de 2026 (entrega Fase 2)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Versión</w:t>
            </w:r>
          </w:p>
        </w:tc>
        <w:tc>
          <w:tcPr>
            <w:tcW w:type="dxa" w:w="6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>1.2</w:t>
            </w:r>
          </w:p>
        </w:tc>
      </w:tr>
    </w:tbl>
    <w:p>
      <w:r>
        <w:br w:type="page"/>
      </w:r>
    </w:p>
    <w:p>
      <w:pPr>
        <w:pStyle w:val="Heading1"/>
        <w:keepNext/>
        <w:spacing w:after="16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1. Introducción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sz w:val="22"/>
          <w:szCs w:val="22"/>
        </w:rPr>
        <w:t>Este documento define cómo se verificará el sistema del Proyecto Barbería Big-Boys y especifica sus casos de prueba. Contiene 77 casos funcionales, 24 pruebas automatizadas de base de datos (ya ejecutadas), 11 casos no funcionales y 6 escenarios de aceptación con el/la dueño/a. Al 30-10-2026 se suman 36 pruebas automatizadas de la API (20 de integración y 16 de seguridad) y 13 de la web, todas aprobadas.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Los casos se derivan del Documento de Requerimientos (04), de la Especificación de Casos de Uso (17) y del Diseño de Base de Datos (16), y aplican las metas del Plan de Gestión de la Calidad (09). La estructura sigue la norma ISO/IEC/IEEE 29119-3 sobre documentación de pruebas (ISO/IEC/IEEE, 2021). Cada caso indica el requerimiento y el caso de uso que verifica, de modo que la matriz de la sección 11 muestra la cobertura completa de la V1.</w:t>
      </w:r>
    </w:p>
    <w:p>
      <w:pPr>
        <w:pStyle w:val="Heading1"/>
        <w:keepNext/>
        <w:spacing w:after="16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2. Alcance de las Pruebas</w:t>
      </w:r>
    </w:p>
    <w:p>
      <w:pPr>
        <w:keepNext/>
        <w:spacing w:after="120" w:before="0" w:line="276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Incluye: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Los 58 requerimientos funcionales de la V1 (RF-01 a RF-22 y RF-28 a RF-63) en la web, la app Android y la API.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Los 11 requerimientos no funcionales (RNF-01 a RNF-11).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La integración con la pasarela de pago en el ambiente de integración de Transbank y con el servicio de correo.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El esquema PostgreSQL y sus reglas de integridad (traslapes, reagendamientos, auditoría inmutable, roles).</w:t>
      </w:r>
    </w:p>
    <w:p>
      <w:pPr>
        <w:keepNext/>
        <w:spacing w:after="120" w:before="120" w:line="276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Excluye: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Los requerimientos del roadmap V2 (RF-23 a RF-27).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El funcionamiento interno de la pasarela de pago, que es responsabilidad del proveedor certificado PCI DSS.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Pruebas de carga sobre la infraestructura del proveedor de hosting más allá de lo indicado en CP-NF-01.</w:t>
      </w:r>
    </w:p>
    <w:p>
      <w:pPr>
        <w:pStyle w:val="Heading1"/>
        <w:keepNext/>
        <w:spacing w:after="16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3. Estrategia y Niveles de Prueba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Las pruebas se ejecutan de abajo hacia arriba: primero las reglas de negocio y la base de datos, luego la integración de los componentes y, por último, la aceptación con el negocio. Cada defecto corregido se verifica con su caso y con una regresión de los casos Muy alta del módulo afectado.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Tabla 1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Niveles de prueba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3260"/>
        <w:gridCol w:w="1500"/>
        <w:gridCol w:w="1900"/>
        <w:gridCol w:w="1200"/>
      </w:tblGrid>
      <w:tr>
        <w:trPr>
          <w:tblHeader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Nivel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Objetivo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Responsable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Herramienta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Semana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Unitarias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Verificar reglas de negocio: abono, 24 h, máximo 2 reagendamientos, estados de reserva y turno.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Jonathan Ojeda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Framework de pruebas del backend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Continuo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Base de datos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Verificar restricciones del esquema con casos positivos y negativos.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Jonathan Ojeda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>PGlite (validar_sql.mjs) y Supabase (PostgreSQL 17)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>S10–S11 (ejecutado)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Integración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Verificar web–app–API–BD–pasarela–correo de extremo a extremo.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Yerko Rosales / Jonathan Ojeda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Ambiente de integración, Postman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S12–S13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Sistema (funcional)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Ejecutar los casos CP-01 a CP-77 sobre el sistema integrado.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Yerko Rosales (QA)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Este documento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S12–S13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Seguridad y privacidad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OWASP Top 10 básico, ejercicio de los 6 derechos, retención y consentimiento.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Yerko Rosales / Jonathan Ojeda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Revisión manual y escáneres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S13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Aceptación (UAT)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Validar con el/la dueño/a los escenarios reales de operación.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Yerko Rosales y dueño/a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Escenarios UAT-01 a UAT-06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S13–S14</w:t>
            </w:r>
          </w:p>
        </w:tc>
      </w:tr>
    </w:tbl>
    <w:p>
      <w:pPr>
        <w:spacing w:after="200" w:before="6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Nota. </w:t>
      </w:r>
      <w:r>
        <w:rPr>
          <w:rFonts w:ascii="Arial" w:cs="Arial" w:eastAsia="Arial" w:hAnsi="Arial"/>
          <w:sz w:val="18"/>
          <w:szCs w:val="18"/>
        </w:rPr>
        <w:t xml:space="preserve">Semanas según el Cronograma (07): H6 Sistema integrado el 30-10-2026 y H7 UAT aprobada el 10-11-2026.</w:t>
      </w:r>
    </w:p>
    <w:p>
      <w:pPr>
        <w:pStyle w:val="Heading1"/>
        <w:keepNext/>
        <w:spacing w:after="16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4. Ambientes y Datos de Prueba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Tabla 2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Ambientes de prueba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00"/>
        <w:gridCol w:w="4260"/>
        <w:gridCol w:w="3300"/>
      </w:tblGrid>
      <w:tr>
        <w:trPr>
          <w:tblHeader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Ambiente</w:t>
            </w:r>
          </w:p>
        </w:tc>
        <w:tc>
          <w:tcPr>
            <w:tcW w:type="dxa" w:w="4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Componentes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Uso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Local</w:t>
            </w:r>
          </w:p>
        </w:tc>
        <w:tc>
          <w:tcPr>
            <w:tcW w:type="dxa" w:w="4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API y PostgreSQL en el equipo del desarrollador; PGlite para pruebas del esquema.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Pruebas unitarias y de base de datos.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Integración</w:t>
            </w:r>
          </w:p>
        </w:tc>
        <w:tc>
          <w:tcPr>
            <w:tcW w:type="dxa" w:w="4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>Web, app Android (emulador y dispositivo físico), API, PostgreSQL en Supabase, ambiente de integración de Transbank y servicio de correo de prueba.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Pruebas de integración, sistema, seguridad y privacidad.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Aceptación</w:t>
            </w:r>
          </w:p>
        </w:tc>
        <w:tc>
          <w:tcPr>
            <w:tcW w:type="dxa" w:w="4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Copia del ambiente de integración con datos de prueba de las tres sucursales.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UAT con el/la dueño/a y marcha blanca.</w:t>
            </w:r>
          </w:p>
        </w:tc>
      </w:tr>
    </w:tbl>
    <w:p>
      <w:pPr>
        <w:keepNext/>
        <w:spacing w:after="120" w:before="160" w:line="276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Datos de prueba: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Tres sucursales: Peñaflor – 21 de Mayo, Peñaflor – Alcalde Luis Araya Cereceda y Talagante.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Un Dueño, un cajero/a por sucursal y al menos dos barberos por sucursal con jornadas definidas.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El catálogo de servicios vigente con precios en CLP y abono de $3.000; la sucursal 3 con abono de 20% para CP-36.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Clientes registrados e invitados ficticios. No se usan datos personales reales de clientes en ningún ambiente de prueba.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Tarjetas de prueba oficiales del ambiente de integración de Transbank para pagos aprobados y rechazados.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sz w:val="22"/>
          <w:szCs w:val="22"/>
        </w:rPr>
        <w:t>Al 30-10-2026 la web del ambiente de aceptación está publicada en GitHub Pages y usa la misma base de datos que las pruebas de integración (riesgo R-18). Las pruebas automáticas se ejecutan dentro de una transacción que se deshace, y los datos de prueba se eliminan antes del paso al ambiente UAT (H7). El ciclo 1 de casos funcionales se ejecuta en S13.</w:t>
      </w:r>
    </w:p>
    <w:p>
      <w:pPr>
        <w:pStyle w:val="Heading1"/>
        <w:keepNext/>
        <w:spacing w:after="16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5. Criterios de Entrada, Salida y Suspensión</w:t>
      </w:r>
    </w:p>
    <w:p>
      <w:pPr>
        <w:keepNext/>
        <w:spacing w:after="120" w:before="0" w:line="276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Entrada: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Sistema desplegado en el ambiente de integración (hito H6).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Pruebas unitarias y de base de datos en verde.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Datos de prueba cargados según la sección 4.</w:t>
      </w:r>
    </w:p>
    <w:p>
      <w:pPr>
        <w:keepNext/>
        <w:spacing w:after="120" w:before="120" w:line="276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Salida (según las metas del Plan de Gestión de la Calidad):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100% de los casos de prioridad Muy alta y Alta aprobados.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Al menos 90% del total de casos aprobados.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Cero defectos críticos abiertos y como máximo 3 defectos menores abiertos.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UAT aprobada por el/la dueño/a con satisfacción ≥ 4 de 5.</w:t>
      </w:r>
    </w:p>
    <w:p>
      <w:pPr>
        <w:keepNext/>
        <w:spacing w:after="120" w:before="120" w:line="276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Suspensión: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El ambiente de integración o la pasarela no están disponibles.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Un defecto crítico impide ejecutar más del 30% de los casos restantes del ciclo.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Tabla 3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Clasificación de defectos por severidad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00"/>
        <w:gridCol w:w="3460"/>
        <w:gridCol w:w="3000"/>
        <w:gridCol w:w="1500"/>
      </w:tblGrid>
      <w:tr>
        <w:trPr>
          <w:tblHeader/>
        </w:trP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Severidad</w:t>
            </w:r>
          </w:p>
        </w:tc>
        <w:tc>
          <w:tcPr>
            <w:tcW w:type="dxa" w:w="34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Definición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Ejemplo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Tiempo de corrección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Crítica</w:t>
            </w:r>
          </w:p>
        </w:tc>
        <w:tc>
          <w:tcPr>
            <w:tcW w:type="dxa" w:w="34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Impide operar, compromete pagos o datos personales.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Se permiten reservas traslapadas; se guarda un dato de tarjeta.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Antes del siguiente ciclo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Alta</w:t>
            </w:r>
          </w:p>
        </w:tc>
        <w:tc>
          <w:tcPr>
            <w:tcW w:type="dxa" w:w="34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Una regla de negocio Muy alta o Alta no se cumple y no hay alternativa.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No se aplica la regla de 24 h al cancelar.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≤ 2 días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Media</w:t>
            </w:r>
          </w:p>
        </w:tc>
        <w:tc>
          <w:tcPr>
            <w:tcW w:type="dxa" w:w="34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Falla con alternativa o en un requerimiento Media.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El historial no filtra por estado.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≤ 5 días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Baja</w:t>
            </w:r>
          </w:p>
        </w:tc>
        <w:tc>
          <w:tcPr>
            <w:tcW w:type="dxa" w:w="34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Defecto visual o de texto sin impacto en la operación.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Error ortográfico en un mensaje.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Según disponibilidad</w:t>
            </w:r>
          </w:p>
        </w:tc>
      </w:tr>
    </w:tbl>
    <w:p>
      <w:pPr>
        <w:pStyle w:val="Heading1"/>
        <w:keepNext/>
        <w:spacing w:after="16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6. Estructura de los Casos de Prueba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Cada caso funcional se describe con los campos de la tabla siguiente. El resultado obtenido, el estado y la fecha de ejecución se registran en el Registro de Ejecución (sección 12).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Tabla 4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Campos de un caso de prueba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ID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Identificador único: CP-NN (funcional), CP-BD-NN (base de datos), CP-NF-NN (no funcional) o UAT-NN (aceptación).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Caso y precondición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Qué se verifica y el estado del sistema necesario antes de ejecutar.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Pasos y datos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Acciones en orden con los datos de entrada concretos.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Resultado esperado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Comportamiento observable que permite aprobar o rechazar el caso.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Trazabilidad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Requerimientos (RF/RNF), caso de uso y flujo (p. ej., CU-22 A1 = flujo alternativo 1) y prioridad heredada del requerimiento de mayor prioridad.</w:t>
            </w:r>
          </w:p>
        </w:tc>
      </w:tr>
    </w:tbl>
    <w:p>
      <w:pPr>
        <w:pStyle w:val="Heading1"/>
        <w:keepNext/>
        <w:spacing w:after="16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7. Casos de Prueba Funcionales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7.1 Cuenta, acceso y roles</w:t>
      </w:r>
    </w:p>
    <w:p>
      <w:pPr>
        <w:keepNext/>
        <w:spacing w:after="120" w:before="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Cubre el registro de clientes, inicio y cierre de sesión, recuperación de contraseña, edición de perfil, ingreso como invitado y control de acceso por rol (CU-01 a CU-06).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Tabla 5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Casos de prueba — Cuenta, acceso y roles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20"/>
        <w:gridCol w:w="2050"/>
        <w:gridCol w:w="2730"/>
        <w:gridCol w:w="2560"/>
        <w:gridCol w:w="1200"/>
      </w:tblGrid>
      <w:tr>
        <w:trPr>
          <w:tblHeader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 y precondición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Pasos y datos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Resultado esperado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Traza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CP-01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Registro exitoso de cliente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El correo no está registrado.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Abrir «Crear cuenta».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Ingresar nombre «Juan Prueba», correo juan.prueba@correo.cl, contraseña «Barba2026» y teléfono vacío.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3. Aceptar la Política de Privacidad; dejar desmarcado el consentimiento promocional.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4. Enviar.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Cuenta creada con rol CLIENTE.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formulario no solicita RUT.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Consentimiento de SERVICIO guardado con versión, fecha, finalidad y canal; sin consentimiento promocional.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RF-01, RF-48, RF-49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CP-02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Registro sin aceptar la política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El correo no está registrado.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Completar los datos válidos.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No marcar la aceptación de la política.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3. Enviar.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 se crea la cuenta.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explica por qué la aceptación es necesaria.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RF-01, RF-48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CU-01 A2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CP-03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Registro con correo ya existente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Existe una cuenta con juan.prueba@correo.cl.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Registrarse con el mismo correo.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 se crea una cuenta duplicada.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ofrece recuperar la contraseña (CU-03).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RF-01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CU-01 A1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CP-04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Registro con contraseña débil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El correo no está registrado.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Ingresar la contraseña «abc12» (5 caracteres).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Repetir con «abcdefgh» (sin números).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Ambos intentos se rechazan indicando el requisito: al menos 8 caracteres con letras y números.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RF-01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CU-01 A3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CP-05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Cupón de bienvenida limitado a 100 registros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Existen 99 registros con cupón asignado.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Registrar el cliente N° 100.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Registrar el cliente N° 101.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cliente N° 100 recibe un cupón BIENVENIDA con PIN de 4 dígitos.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cliente N° 101 no recibe cupón.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RF-19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CP-06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Inicio de sesión exitoso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Cuenta activa de cliente y de cajero/a de la sucursal 1.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Iniciar sesión con credenciales válidas de cada cuenta.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emite una sesión con los permisos del rol y, para el cajero/a, alcance a la sucursal 1.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acceso queda en el registro de auditoría.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RF-02, RF-05, RF-57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CU-02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CP-07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Credenciales inválidas sin revelar el correo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Cuenta activa.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Ingresar un correo existente con contraseña errónea.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Ingresar un correo inexistente.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Ambos casos muestran el mismo mensaje genérico.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incrementa el contador de intentos de la cuenta existente.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RF-02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CU-02 A1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CP-08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Bloqueo temporal tras 5 intentos fallidos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Cuenta activa sin intentos fallidos.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Ingresar 5 veces una contraseña errónea.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Ingresar la contraseña correcta antes de 15 minutos.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3. Repetir después de 15 minutos.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Tras el 5.º intento la cuenta se bloquea por 15 minutos y se envía aviso por correo.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paso 2 es rechazado; el paso 3 permite el ingreso.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RF-02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CU-02 A2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CP-09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Primer ingreso de colaborador con contraseña temporal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El Dueño creó un perfil de barbero (CP-58).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El barbero inicia sesión con la contraseña temporal.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Intenta navegar sin cambiarla.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3. Define una nueva contraseña.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sistema exige definir una nueva contraseña antes de continuar.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Tras el cambio se habilita su vista de solo lectura.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RF-63, RF-02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CU-02 A4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CP-10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Recuperación de contraseña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Cuenta activa con sesión abierta en otro dispositivo.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Seleccionar «Olvidé mi contraseña» e ingresar el correo.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Abrir el enlace recibido y definir una nueva contraseña.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3. Volver a usar el mismo enlace.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enlace es de un solo uso y vence a los 30 minutos.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Las sesiones previas se invalidan y el evento queda registrado.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paso 3 es rechazado.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RF-38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CU-03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CP-11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Recuperación con enlace vencido o correo no registrado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Enlace generado hace más de 30 minutos.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Abrir el enlace vencido.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Solicitar recuperación para un correo no registrado.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Paso 1: se solicita generar un enlace nuevo.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Paso 2: se muestra el mismo mensaje de confirmación (no revela si el correo existe).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RF-38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CU-03 A1, A2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CP-12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Edición del perfil (rectificación directa)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Sesión de cliente iniciada.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Abrir «Mi perfil» y cambiar el teléfono.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Cambiar el correo electrónico.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teléfono se guarda y el cambio queda en auditoría.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cambio de correo exige verificar el nuevo correo antes de aplicarse.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RF-04, RF-51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CU-04, CU-11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CP-13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Reserva express como invitado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Sin sesión iniciada.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Seleccionar «Continuar como invitado».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Cerrar el pop-up de promoción.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3. Agendar entregando solo nombre y teléfono.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4. Navegar a otra pantalla y volver.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pop-up se muestra una vez por sesión, con la casilla promocional desmarcada.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solicita solo nombre y teléfono.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registra el consentimiento de servicio; no se registra consentimiento promocional.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RF-03, RF-48, RF-49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CU-05, CU-06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CP-14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Invitado decide registrarse desde el pop-up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Invitado con servicio y horario seleccionados.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Elegir «Crear perfil» en el pop-up.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Completar el registro.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crea la cuenta (CU-01) y se conserva la selección de servicio y horario.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RF-03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CU-05 A1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CP-15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Control de acceso por rol y sucursal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Cajero/a de la sucursal 1, barbero y cliente con sesión.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El cajero/a consulta la agenda de la sucursal 2 por la API.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El barbero intenta cambiar el estado de una cita.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3. El cliente intenta abrir el dashboard de administración.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Las tres acciones se rechazan (HTTP 403) sin exponer datos.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Cada intento queda en el registro de auditoría.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RF-05, RF-57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CU-02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CP-16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Cierre de sesión seguro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Sesión iniciada en la app.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Cerrar sesión.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Reutilizar el token anterior en una llamada a la API.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token queda invalidado (HTTP 401) y la app limpia el estado local.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RF-06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Media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7.2 Privacidad y derechos del titular («Mis datos»)</w:t>
      </w:r>
    </w:p>
    <w:p>
      <w:pPr>
        <w:keepNext/>
        <w:spacing w:after="120" w:before="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Cubre la aceptación de políticas, el consentimiento promocional y el ejercicio de los seis derechos del titular de la Ley N° 21.719 (CU-07 a CU-15).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Tabla 6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Casos de prueba — Privacidad y derechos del titular («Mis datos»)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20"/>
        <w:gridCol w:w="2050"/>
        <w:gridCol w:w="2730"/>
        <w:gridCol w:w="2560"/>
        <w:gridCol w:w="1200"/>
      </w:tblGrid>
      <w:tr>
        <w:trPr>
          <w:tblHeader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 y precondición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Pasos y datos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Resultado esperado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Traza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CP-17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Nueva versión sustancial de la política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Cliente con consentimiento a la versión 1.0; se publica la versión 2.0 marcada como cambio sustancial.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El cliente inicia sesión.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Acepta la nueva versión.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solicita la nueva aceptación antes de continuar.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guarda el consentimiento a la versión 2.0 con fecha, finalidad y canal, conservando el anterior.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RF-48, RF-61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CU-07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CP-18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Otorgar y revocar consentimiento promocional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Cliente sin consentimiento promocional.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En «Mis datos › Preferencias de comunicación», activar el consentimiento.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Revocarlo con un clic.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3. Enviar una campaña promocional de prueba.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Cada cambio se registra con fecha y versión.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cliente queda excluido de la campaña del paso 3.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RF-49, RF-53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CU-08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CP-19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Crear solicitud de derecho del titular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Sesión de cliente iniciada.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Abrir «Mis datos» y seleccionar «Supresión».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crea la solicitud con folio y fecha límite = fecha de recepción + 30 días corridos.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envía confirmación de recepción por correo.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RF-56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CU-09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CP-20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Solicitud de invitado sin identidad verificable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Invitado que no completa la verificación por correo o teléfono.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Solicitar acceso a sus datos como invitado.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No completar la verificación.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 solicitud queda en estado EN_VERIFICACION y no se entregan datos.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RF-56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CU-09 A1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CP-21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Derecho de acceso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Cliente con reservas y pagos de prueba.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Solicitar ver sus datos.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muestran datos de cuenta, reservas, pagos (sin datos de tarjeta), consentimientos y destinatarios.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 solicitud queda RESPONDIDA.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RF-50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CU-10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CP-22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Derecho de supresión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Cliente sin citas futuras confirmadas.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Solicitar eliminar la cuenta.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Revisar el detalle de lo que se conserva y confirmar.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informa qué datos se eliminan y cuáles se conservan por obligación legal.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Los datos personales se anonimizan, se revocan consentimientos y se cierran las sesiones.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Los registros de atención y pago se conservan sin vínculo identificable.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RF-52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CU-12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CP-23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Supresión con citas futuras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Cliente con una reserva CONFIRMADA futura.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Solicitar la supresión.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sistema ofrece cancelar la cita antes de continuar y no suprime mientras exista.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RF-52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CU-12 A1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CP-24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Derecho de oposición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Cliente con consentimiento promocional vigente.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Oponerse al tratamiento «promociones».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tratamiento se detiene de inmediato y la oposición queda registrada.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RF-53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CU-13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CP-25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Derecho de portabilidad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Cliente con historial de reservas.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Solicitar la descarga de sus datos.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Medir el tiempo de generación.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3. Abrir el enlace después de 24 h.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generan archivos JSON y CSV legibles en menos de 1 minuto.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enlace temporal deja de funcionar después de 24 h.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RF-54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CU-14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CP-26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Derecho de bloqueo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Cliente con consentimiento promocional vigente.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Solicitar el bloqueo temporal.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Iniciar sesión nuevamente.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3. Enviar una campaña promocional de prueba.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 cuenta queda BLOQUEADA y se informa el estado al iniciar sesión.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detienen los usos no esenciales: el cliente no recibe la campaña.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RF-55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CU-15, CU-02 A3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7.3 Catálogo, agendamiento y pagos</w:t>
      </w:r>
    </w:p>
    <w:p>
      <w:pPr>
        <w:keepNext/>
        <w:spacing w:after="120" w:before="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Cubre el flujo asistido de reserva, el cálculo de disponibilidad, el abono de $3.000 con la pasarela, la reprogramación, la cancelación y las notificaciones (CU-16 a CU-25). Las pruebas de pago se ejecutan en el ambiente de integración de Transbank con las tarjetas de prueba que publica el proveedor.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Tabla 7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Casos de prueba — Catálogo, agendamiento y pagos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20"/>
        <w:gridCol w:w="2050"/>
        <w:gridCol w:w="2730"/>
        <w:gridCol w:w="2560"/>
        <w:gridCol w:w="1200"/>
      </w:tblGrid>
      <w:tr>
        <w:trPr>
          <w:tblHeader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 y precondición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Pasos y datos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Resultado esperado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Traza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CP-27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Directorio de sucursales y navegación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Las 3 sucursales están activas.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Abrir el directorio de sucursales.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Pulsar «Cómo llegar» en Talagante.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listan Peñaflor – 21 de Mayo, Peñaflor – Alcalde Luis Araya Cereceda y Talagante con dirección, horario y estado.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abre Google Maps o Waze con la ubicación correcta.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RF-07, RF-08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CU-17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CP-28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Catálogo de servicios y barberos por sucursal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Un barbero de la sucursal 1 está desactivado.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Elegir la sucursal 1 y abrir el catálogo.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Abrir el directorio de barberos.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muestran servicios con duración y precio en CLP de la sucursal.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listan los barberos activos con especialidad y calificación; el desactivado no aparece.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RF-09, RF-10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CU-16, CU-18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CP-29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Cálculo de disponibilidad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Barbero con jornada 10:00–19:00, bloqueo 14:00–15:00 y reserva 11:00–11:40; servicio de 40 min.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Consultar la disponibilidad del día.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Los bloques ofrecidos excluyen 11:00–11:40 y 14:00–15:00 y respetan la jornada.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Ningún bloque ofrecido se traslapa con otro compromiso.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RF-12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CU-19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CP-30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Fecha sin disponibilidad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Barbero con la agenda del día completa.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Consultar la disponibilidad de ese día.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informa que no hay bloques y se sugiere otra fecha, barbero o sucursal.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RF-12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CU-19 A1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CP-31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Asignación de barbero «Cualquiera»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Dos barberos de la sucursal; solo uno libre a las 16:00.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Elegir «Cualquiera» y el bloque de las 16:00.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 reserva se asigna al barbero libre.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RF-13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CU-18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CP-32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Agendamiento completo con abono (camino feliz)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Cliente con sesión; abono vigente de $3.000.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Elegir sucursal → barbero → servicio → fecha → hora.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Confirmar el resumen.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3. Pagar con tarjeta de prueba aprobada en la pasarela.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 confirmar el resumen la reserva queda PENDIENTE_PAGO con vencimiento de 15 min.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Tras el pago: reserva CONFIRMADA y pago AUTORIZADO por $3.000.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emite comprobante con código, servicio, sucursal, barbero y hora.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RF-11, RF-14, RF-15, RF-16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CU-20, CU-21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CP-33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Dos clientes reservan el mismo bloque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Dos sesiones con el mismo barbero y bloque seleccionados.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Confirmar ambos resúmenes de forma simultánea.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Solo una reserva se crea; la base de datos rechaza el traslape.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segundo cliente recibe un mensaje para elegir otro horario.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RF-12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CU-20 A1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CP-34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Pago rechazado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Reserva en PENDIENTE_PAGO.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Pagar con tarjeta de prueba rechazada.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Reintentar con tarjeta aprobada antes de 15 min.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Tras el rechazo la reserva sigue PENDIENTE_PAGO y se permite reintentar.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reintento confirma la reserva.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RF-14, RF-15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CU-21 A1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CP-35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Expiración de reserva impaga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Reserva en PENDIENTE_PAGO.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Abandonar la pasarela sin pagar.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Esperar 15 minutos.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3. Consultar la disponibilidad del bloque.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 reserva pasa a EXPIRADA.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bloque vuelve a estar disponible.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RF-40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CU-20 A2, CU-21 A2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CP-36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Abono leído desde Configuración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Sucursal 3 configurada con abono de 20%; existe una reserva previa con abono de $3.000.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Agendar en la sucursal 3 un servicio de $11.900.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Revisar la reserva previa.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abono calculado es $2.380 (20% de $11.900).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 reserva previa conserva el abono pagado de $3.000.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RF-14, RF-44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CU-21, CU-33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CP-37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sistema no guarda datos de tarjeta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Se ejecutó CP-32.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Revisar la tabla de pagos y los logs de la API.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Solo existen proveedor, ID de transacción, monto, estado y tipo de medio.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 hay número, vencimiento ni CVV en la base de datos ni en los logs.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RF-15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CP-38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Reprogramación permitida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Reserva CONFIRMADA a más de 24 h, sin reagendamientos.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Elegir «Reprogramar» y un nuevo horario disponible.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 reserva se actualiza con el mismo abono.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contador de reagendamientos queda en 1 y se registra el historial.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RF-39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CU-22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CP-39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Tercer reagendamiento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Reserva con 2 reagendamientos usados.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Intentar reprogramar nuevamente.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rechaza; se indica que debe cancelar o asistir.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RF-39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CU-22 A2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CP-40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Reprogramación con menos de 24 h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Reserva CONFIRMADA dentro de 10 h.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Intentar reprogramar.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rechaza y se informa que el abono se perderá si no asiste.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RF-39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CU-22 A1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CP-41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Cancelación con 24 h o más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Reserva CONFIRMADA a 48 h.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Cancelar la reserva.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abono queda como saldo a favor y cuenta como uso de reagendamiento.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cupo se libera y se envía el correo de cancelación.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 operación queda en auditoría.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RF-18, RF-29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CU-23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CP-42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Cancelación con menos de 24 h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Reserva CONFIRMADA dentro de 5 h.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Cancelar la reserva.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pago queda RETENIDO (abono perdido), el cupo se libera y la regla aplicada queda en auditoría.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RF-18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CU-23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CP-43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Cancelación por el local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Reserva CONFIRMADA; cajero/a con sesión.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El cajero/a cancela por emergencia del local.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solicita a la pasarela la devolución total; el pago queda REEMBOLSADO.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cliente recibe el aviso de cancelación.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RF-18, RF-29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CU-23 A1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CP-44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Confirmación y recordatorio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Reserva confirmada para dentro de 48 h.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Confirmar el abono.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Adelantar el reloj del ambiente de prueba hasta 24 h antes de la cita.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envía el correo de confirmación con el comprobante.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envía el recordatorio con opción de reprogramar y se registra en la bandeja interna.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RF-28, RF-30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CU-24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CP-45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Fallo en el envío de notificaciones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Servicio de correo simulado con error.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Confirmar una reserva.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sistema reintenta hasta 3 veces; la notificación queda FALLIDA y se avisa en la bandeja interna.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RF-30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CU-24 A1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CP-46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Mis citas e historial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Cliente con citas futuras, atendidas y canceladas.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Abrir «Mis citas».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muestran citas futuras y pasadas agrupadas por estado, con abonos y puntos.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RF-17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CU-25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Media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7.4 Atención en sucursal (orden de llegada)</w:t>
      </w:r>
    </w:p>
    <w:p>
      <w:pPr>
        <w:keepNext/>
        <w:spacing w:after="120" w:before="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Cubre la fila por orden de llegada, la agenda del día, el inicio y término de la atención, el no-show y la consulta del barbero (CU-26 a CU-29 y CU-41).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Tabla 8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Casos de prueba — Atención en sucursal (orden de llegada)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20"/>
        <w:gridCol w:w="2050"/>
        <w:gridCol w:w="2730"/>
        <w:gridCol w:w="2560"/>
        <w:gridCol w:w="1200"/>
      </w:tblGrid>
      <w:tr>
        <w:trPr>
          <w:tblHeader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 y precondición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Pasos y datos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Resultado esperado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Traza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CP-47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Registro y llamado de turno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Sesión de cajero/a de la sucursal 1.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Registrar la llegada de un cliente sin reserva (nombre de pila, servicio, barbero preferido).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Llamar el turno.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3. Iniciar y cerrar la atención.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asigna un número de turno correlativo del día y un tiempo estimado de espera.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turno pasa por EN_ESPERA → LLAMADO → EN_ATENCION → ATENDIDO.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RF-41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CU-26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CP-48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Abandono de la fila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Turno en EN_ESPERA.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Marcar ABANDONO.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Consultar el KPI de abandono.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3. Revisar el turno después de 24 h.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turno termina en ABANDONO y se refleja en el KPI.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nombre de pila se elimina a las 24 h; la estadística es anónima.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RF-41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CU-26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CP-49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Agenda del día y bloqueo de horario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Sucursal con reservas y turnos del día.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Abrir el dashboard diario.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Bloquear 13:00–14:00 de un barbero sin reservas en esa franja.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3. Consultar la disponibilidad como cliente.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ven las citas del día por barbero y hora.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bloque 13:00–14:00 deja de ofrecerse al cliente.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RF-31, RF-33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CU-27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CP-50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Bloqueo sobre una reserva confirmada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Barbero con reserva CONFIRMADA a las 17:00.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Bloquear 16:30–18:00.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sistema exige reprogramar o cancelar por el local la reserva afectada antes de aplicar el bloqueo.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RF-33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CU-27 A1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CP-51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Confirmar servicio e iniciar atención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Reserva CONFIRMADA cuyo horario llegó.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El cliente pide cambiar «Corte» por «Corte + barba».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El cajero/a confirma el servicio, asigna barbero y marca «En atención».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 atención inicia con el servicio actualizado y el barbero asignado.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RF-32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CU-28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CP-52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Marcar no-show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Reserva CONFIRMADA; pasaron 15 min desde la hora sin que el cliente llegue.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Marcar NO_SHOW.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 reserva queda NO_SHOW y el pago RETENIDO.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refleja en el KPI de no-show.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RF-43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CU-28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CP-53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Solo el cajero/a cambia estados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Barbero y cliente con sesión.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El barbero intenta marcar una cita como atendida.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El cliente intenta marcar su cita como atendida por la API.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Ambas acciones se rechazan (HTTP 403) y quedan en auditoría.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RF-32, RF-05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CU-28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CP-54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Registrar término de atención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Atención en curso de cliente registrado con abono de $3.000.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Registrar término: servicio $11.900, abono aplicado $3.000, propina $1.000, medio débito.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 atención queda registrada con el usuario que la registró.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abono queda APLICADO y el cobro en local es $8.900.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acreditan los puntos al cliente.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RF-42, RF-20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CU-29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CP-55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Caja y resumen de ingresos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Atenciones de prueba registradas en el día.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Abrir el resumen de caja del día.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Los totales de abonos aplicados, pagos en local y propinas coinciden con la suma de las atenciones registradas.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RF-34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CU-29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CP-56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Barbero consulta atenciones y ganancias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El barbero tiene 3 atenciones registradas en el día.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Abrir «Mis atenciones».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Intentar editar una atención.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ven hora, servicio y monto de cada atención, la cantidad (3) y el total acumulado a la hora de la consulta.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 se muestran datos de contacto de los clientes.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 existe opción de edición y la API rechaza la modificación.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RF-62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CU-41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7.5 Administración y fidelización</w:t>
      </w:r>
    </w:p>
    <w:p>
      <w:pPr>
        <w:keepNext/>
        <w:spacing w:after="120" w:before="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Cubre la gestión de servicios, colaboradores, sucursales, parámetros y promociones (CU-30 a CU-34).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Tabla 9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Casos de prueba — Administración y fidelización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20"/>
        <w:gridCol w:w="2050"/>
        <w:gridCol w:w="2730"/>
        <w:gridCol w:w="2560"/>
        <w:gridCol w:w="1200"/>
      </w:tblGrid>
      <w:tr>
        <w:trPr>
          <w:tblHeader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 y precondición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Pasos y datos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Resultado esperado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Traza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CP-57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Gestión de servicios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Sesión del Dueño.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Crear un servicio de 45 min y $9.900 en la sucursal 1.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Cambiar su precio.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3. Desactivarlo.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servicio aparece en el catálogo con los valores vigentes y deja de ofrecerse al desactivarlo.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Cada cambio queda en auditoría.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RF-35, RF-10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CU-30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CP-58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Dueño crea perfil de colaborador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Sesión del Dueño.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Crear un perfil de cajero/a para la sucursal 2.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Crear un perfil de barbero con su jornada.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genera contraseña temporal con cambio obligatorio en el primer ingreso.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 auditoría registra quién creó cada perfil y cuándo.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RF-63, RF-35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CU-31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CP-59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Colaboradores no pueden crearse por otra vía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Sesión de cajero/a.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El cajero/a intenta crear un barbero por la API.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Un usuario intenta autorregistrarse indicando rol Barbero.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Ambas operaciones se rechazan; solo el Dueño asigna roles distintos de Cliente.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RF-63, RF-05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CU-31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CP-60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Desactivación de colaborador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Barbero con sesión activa.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El Dueño desactiva el perfil.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El barbero intenta seguir usando la app e iniciar sesión.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Las sesiones activas se cierran y el inicio de sesión es rechazado.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RF-63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CU-31 A1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CP-61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Gestión de sucursales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Sesión del Dueño.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Editar el horario de Talagante.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Desactivar una sucursal de prueba.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directorio muestra el nuevo horario.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 sucursal desactivada no se ofrece para agendar.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RF-45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CU-32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CP-62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Configuración de parámetros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Sesión del Dueño.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Cambiar la anticipación mínima de reagendamiento y el máximo de reagendamientos.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Definir un abono por servicio con fecha de vigencia.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Los parámetros se versionan y el cambio queda en auditoría.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Las reservas nuevas usan los valores vigentes desde su fecha.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RF-44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CU-33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CP-63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Promociones solo con consentimiento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Un cliente con y otro sin consentimiento promocional.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Crear una promoción con vigencia y cupos.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Enviarla.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Solo la recibe el cliente con consentimiento vigente.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RF-22, RF-49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CU-34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CP-64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Canje de código promocional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Un código vigente y otro vencido.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Canjear el código vigente.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Canjear el código vencido.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código vigente aplica el descuento; el vencido se rechaza indicando la vigencia.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RF-22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CU-34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CP-65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Ruleta de beneficios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Cliente registrado sin giros en los últimos 30 días.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Girar la ruleta.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Intentar girar de nuevo el mismo día.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3. Intentar girar como invitado.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primer giro entrega un beneficio.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Los pasos 2 y 3 se rechazan.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RF-21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Baja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CP-66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Canje de puntos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Cliente con puntos suficientes (CP-54).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Canjear puntos por un descuento.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descuentan los puntos y el beneficio queda disponible.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RF-20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CU-29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Media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7.6 Cumplimiento, auditoría y gestión</w:t>
      </w:r>
    </w:p>
    <w:p>
      <w:pPr>
        <w:keepNext/>
        <w:spacing w:after="120" w:before="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Cubre la atención de solicitudes, la auditoría, la retención, los incidentes de seguridad, el RAT, las políticas versionadas, los KPIs y los reportes (CU-35 a CU-40).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Tabla 10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Casos de prueba — Cumplimiento, auditoría y gestión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20"/>
        <w:gridCol w:w="2050"/>
        <w:gridCol w:w="2730"/>
        <w:gridCol w:w="2560"/>
        <w:gridCol w:w="1200"/>
      </w:tblGrid>
      <w:tr>
        <w:trPr>
          <w:tblHeader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 y precondición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Pasos y datos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Resultado esperado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Traza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CP-67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Atención de solicitudes de derechos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Solicitudes abiertas con distintas fechas límite.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Abrir la bandeja del responsable.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Ajustar una solicitud para que venza en 5 días.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3. Responder una solicitud.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 bandeja se ordena por fecha límite.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emite alerta 5 días antes del vencimiento.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registran respuesta, fecha y responsable.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RF-56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CU-35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CP-68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Prórroga y rechazo fundado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Solicitud abierta.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Prorrogar la solicitud con aviso fundado.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Intentar una segunda prórroga.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3. Rechazar otra solicitud improcedente.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 primera prórroga extiende 30 días; la segunda se rechaza.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rechazo informa el derecho a reclamar ante la Agencia.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RF-56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CU-35 A1, A2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CP-69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Consulta y protección de la auditoría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Sesión del Dueño.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Filtrar la auditoría por usuario y fecha y exportar.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Intentar UPDATE y DELETE sobre el registro de auditoría.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 consulta y la exportación quedan auditadas.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 base de datos rechaza la modificación y el borrado.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RF-57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CU-36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CP-70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Política de retención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Cuenta inactiva por 24 meses e invitado con última reserva hace 12 meses (datos de prueba).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Ejecutar el proceso programado.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avisa al titular 30 días antes.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 vencer, los datos se anonimizan y se registran la ejecución y las cuentas tratadas.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RF-58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CU-40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CP-71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Gestión de incidente de seguridad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Sesión del Dueño.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Registrar un incidente simulado.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Evaluar el riesgo, registrar la notificación y cerrarlo.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incidente pasa por ABIERTO → CONTENIDO → CERRADO con evaluación, notificaciones y lecciones aprendidas.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RF-59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CU-39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CP-72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Registro de actividades de tratamiento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Sesión del Dueño.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Consultar y exportar el RAT.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RAT se exporta con finalidad, base de licitud, categorías de datos, destinatarios y plazos.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RF-60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CP-73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Políticas versionadas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Política de Privacidad y Términos publicados.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Consultar la política vigente.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Calcular la huella del texto publicado.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Cada documento muestra versión y fecha; la huella calculada coincide con la registrada.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RF-61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CU-07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CP-74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Dashboard de KPIs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Datos de prueba conocidos: 10 turnos en la sucursal 1, 1 abandono.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El cajero/a de la sucursal 1 abre el dashboard.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El Dueño abre el dashboard.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abandono de la sucursal 1 es 10%.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cajero/a solo ve su sucursal; el Dueño ve cada sucursal, el subtotal Peñaflor y el consolidado.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RF-46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CU-37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CP-75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Reportes exportables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Atenciones de prueba en las 3 sucursales.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Generar el reporte por período, sucursal y barbero en PDF y en Excel.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Ambos archivos se generan, sus totales coinciden con el dashboard y los clientes aparecen seudonimizados.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RF-47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CU-38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7.7 Sincronización multiplataforma</w:t>
      </w:r>
    </w:p>
    <w:p>
      <w:pPr>
        <w:keepNext/>
        <w:spacing w:after="120" w:before="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Cubre la operación sin conexión de la app y la coherencia entre web y app sobre la API única.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Tabla 11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Casos de prueba — Sincronización multiplataforma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20"/>
        <w:gridCol w:w="2050"/>
        <w:gridCol w:w="2730"/>
        <w:gridCol w:w="2560"/>
        <w:gridCol w:w="1200"/>
      </w:tblGrid>
      <w:tr>
        <w:trPr>
          <w:tblHeader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 y precondición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Pasos y datos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Resultado esperado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Traza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CP-76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Uso de la app sin conexión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App con datos sincronizados.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Activar el modo avión.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Abrir catálogo, citas e historial.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3. Editar el teléfono del perfil y reconectar.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 app muestra los datos en caché en modo lectura.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cambio encolado se sincroniza al reconectar.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RF-36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CP-77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Coherencia entre web y app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Mismo cliente con sesión en la web y en la app.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Agendar en la web.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Refrescar «Mis citas» en la app.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 reserva aparece en la app con el mismo estado y código.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RF-37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</w:tr>
    </w:tbl>
    <w:p>
      <w:pPr>
        <w:pStyle w:val="Heading1"/>
        <w:keepNext/>
        <w:spacing w:after="16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8. Pruebas Automatizadas de Base de Datos (Ejecutadas)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El script validar_sql.mjs carga bigboys_ddl.sql en PostgreSQL embebido (PGlite con btree_gist) e intenta operaciones válidas e inválidas. Una prueba negativa se aprueba cuando la base de datos rechaza la operación. Los archivos están en «Evidencias de sistema/Base de datos».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Tabla 12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sz w:val="21"/>
          <w:szCs w:val="21"/>
        </w:rPr>
        <w:t>Resultados de las pruebas de base de datos (ejecuciones del 08-10-2026 en PGlite y del 20-10-2026 en Supabase; CP-BD-23 y CP-BD-24, el 22-10-2026 en PGlite)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50"/>
        <w:gridCol w:w="2800"/>
        <w:gridCol w:w="950"/>
        <w:gridCol w:w="2660"/>
        <w:gridCol w:w="950"/>
        <w:gridCol w:w="950"/>
      </w:tblGrid>
      <w:tr>
        <w:trPr>
          <w:tblHeader/>
        </w:trPr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2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Resultado obtenido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RF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CP-BD-01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Script DDL completo ejecutado sin errores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Positivo</w:t>
            </w:r>
          </w:p>
        </w:tc>
        <w:tc>
          <w:tcPr>
            <w:tcW w:type="dxa" w:w="2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>Aceptado (27 tablas creadas)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RF-37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CP-BD-02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Reserva válida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Positivo</w:t>
            </w:r>
          </w:p>
        </w:tc>
        <w:tc>
          <w:tcPr>
            <w:tcW w:type="dxa" w:w="2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Aceptado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RF-11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CP-BD-03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Doble reserva traslapada (mismo barbero)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Negativo</w:t>
            </w:r>
          </w:p>
        </w:tc>
        <w:tc>
          <w:tcPr>
            <w:tcW w:type="dxa" w:w="2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Rechazado por restricción de exclusión (traslape)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RF-12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CP-BD-04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Reserva en un horario cancelado previamente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Positivo</w:t>
            </w:r>
          </w:p>
        </w:tc>
        <w:tc>
          <w:tcPr>
            <w:tcW w:type="dxa" w:w="2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Aceptado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RF-12, RF-18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CP-BD-05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Más de 2 reagendamientos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Negativo</w:t>
            </w:r>
          </w:p>
        </w:tc>
        <w:tc>
          <w:tcPr>
            <w:tcW w:type="dxa" w:w="2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Rechazado por CHECK en reserva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RF-39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CP-BD-06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Reagendamiento con menos de 24 h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Negativo</w:t>
            </w:r>
          </w:p>
        </w:tc>
        <w:tc>
          <w:tcPr>
            <w:tcW w:type="dxa" w:w="2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Rechazado por CHECK en reagendamiento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RF-39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CP-BD-07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Cliente invitado sin usuario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Positivo</w:t>
            </w:r>
          </w:p>
        </w:tc>
        <w:tc>
          <w:tcPr>
            <w:tcW w:type="dxa" w:w="2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Aceptado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RF-03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CP-BD-08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Cliente no invitado sin usuario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Negativo</w:t>
            </w:r>
          </w:p>
        </w:tc>
        <w:tc>
          <w:tcPr>
            <w:tcW w:type="dxa" w:w="2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Rechazado por CHECK en cliente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RF-01, RF-03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CP-BD-09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Pago sin datos de tarjeta (solo ID y estado)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Positivo</w:t>
            </w:r>
          </w:p>
        </w:tc>
        <w:tc>
          <w:tcPr>
            <w:tcW w:type="dxa" w:w="2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Aceptado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RF-15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CP-BD-10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Atención sin reserva ni turno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Negativo</w:t>
            </w:r>
          </w:p>
        </w:tc>
        <w:tc>
          <w:tcPr>
            <w:tcW w:type="dxa" w:w="2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Rechazado por CHECK en atencion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RF-42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CP-BD-11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Turno por orden de llegada con atención asociada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Positivo</w:t>
            </w:r>
          </w:p>
        </w:tc>
        <w:tc>
          <w:tcPr>
            <w:tcW w:type="dxa" w:w="2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Aceptado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RF-41, RF-42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CP-BD-12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Atención sin cajero/a que la registre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Negativo</w:t>
            </w:r>
          </w:p>
        </w:tc>
        <w:tc>
          <w:tcPr>
            <w:tcW w:type="dxa" w:w="2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Rechazado: registrada_por es obligatorio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RF-42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CP-BD-13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Solicitud de derecho calcula plazo de 30 días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Positivo</w:t>
            </w:r>
          </w:p>
        </w:tc>
        <w:tc>
          <w:tcPr>
            <w:tcW w:type="dxa" w:w="2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Aceptado (plazo calculado: 30 días)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RF-56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CP-BD-14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Auditoría de solo inserción (UPDATE)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Negativo</w:t>
            </w:r>
          </w:p>
        </w:tc>
        <w:tc>
          <w:tcPr>
            <w:tcW w:type="dxa" w:w="2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Rechazado: registro_auditoria es de solo inserción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RF-57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CP-BD-15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Abono por porcentaje en una sucursal sin cambiar el modelo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Positivo</w:t>
            </w:r>
          </w:p>
        </w:tc>
        <w:tc>
          <w:tcPr>
            <w:tcW w:type="dxa" w:w="2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Aceptado (sucursal 3: 20%)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RF-14, RF-44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CP-BD-16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Asignación del primer Dueño (arranque)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Positivo</w:t>
            </w:r>
          </w:p>
        </w:tc>
        <w:tc>
          <w:tcPr>
            <w:tcW w:type="dxa" w:w="2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Aceptado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RF-63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CP-BD-17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Dueño crea perfil de cajero/a con contraseña temporal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Positivo</w:t>
            </w:r>
          </w:p>
        </w:tc>
        <w:tc>
          <w:tcPr>
            <w:tcW w:type="dxa" w:w="2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Aceptado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RF-63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CP-BD-18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Colaborador autorregistrado (sin Dueño creador)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Negativo</w:t>
            </w:r>
          </w:p>
        </w:tc>
        <w:tc>
          <w:tcPr>
            <w:tcW w:type="dxa" w:w="2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Rechazado: solo el Dueño puede crear perfiles de colaboradores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RF-63, RF-05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CP-BD-19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Perfil de colaborador creado por un no-Dueño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Negativo</w:t>
            </w:r>
          </w:p>
        </w:tc>
        <w:tc>
          <w:tcPr>
            <w:tcW w:type="dxa" w:w="2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Rechazado: solo el Dueño puede crear perfiles de colaboradores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RF-63, RF-05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CP-BD-20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Cliente se autorregistra con rol CLIENTE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Positivo</w:t>
            </w:r>
          </w:p>
        </w:tc>
        <w:tc>
          <w:tcPr>
            <w:tcW w:type="dxa" w:w="2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Aceptado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RF-01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CP-BD-21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Servicio de más de 60 minutos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Negativo</w:t>
            </w:r>
          </w:p>
        </w:tc>
        <w:tc>
          <w:tcPr>
            <w:tcW w:type="dxa" w:w="2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Rechazado por CHECK en servicio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RF-10, RF-35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CP-BD-22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Configuración GLOBAL asociada a una sucursal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Negativo</w:t>
            </w:r>
          </w:p>
        </w:tc>
        <w:tc>
          <w:tcPr>
            <w:tcW w:type="dxa" w:w="2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Rechazado por CHECK en configuracion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RF-44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>CP-BD-23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>Reseña válida de un cliente a un barbero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>Positivo</w:t>
            </w:r>
          </w:p>
        </w:tc>
        <w:tc>
          <w:tcPr>
            <w:tcW w:type="dxa" w:w="2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>Aceptado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>RF-09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>Aprobado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>CP-BD-24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>Reseña con calificación fuera de 1 a 5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>Negativo</w:t>
            </w:r>
          </w:p>
        </w:tc>
        <w:tc>
          <w:tcPr>
            <w:tcW w:type="dxa" w:w="2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>Rechazado por CHECK en resena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>RF-09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>Aprobado</w:t>
            </w:r>
          </w:p>
        </w:tc>
      </w:tr>
    </w:tbl>
    <w:p>
      <w:pPr>
        <w:spacing w:after="200" w:before="60"/>
      </w:pPr>
      <w:r>
        <w:rPr>
          <w:rFonts w:ascii="Arial" w:cs="Arial" w:eastAsia="Arial" w:hAnsi="Arial"/>
          <w:i/>
          <w:iCs/>
          <w:sz w:val="18"/>
          <w:szCs w:val="18"/>
        </w:rPr>
        <w:t>Nota. Fuentes: resultado_validacion_sql.txt (PGlite) y supabase_2026-10-20/resultado_pruebas_supabase.txt (Supabase). Resultado: 22 de 22 aprobados en ambas ejecuciones.</w:t>
      </w:r>
      <w:r>
        <w:rPr>
          <w:rFonts w:ascii="Arial" w:cs="Arial" w:eastAsia="Arial" w:hAnsi="Arial"/>
          <w:sz w:val="18"/>
          <w:szCs w:val="18"/>
        </w:rPr>
      </w:r>
    </w:p>
    <w:p>
      <w:pPr>
        <w:pBdr>
          <w:left w:val="single" w:color="1F3864" w:sz="18" w:space="6"/>
        </w:pBdr>
        <w:shd w:fill="EEF2F8" w:color="auto" w:val="clear"/>
        <w:spacing w:after="160" w:before="120" w:line="264"/>
      </w:pPr>
      <w:r>
        <w:rPr>
          <w:rFonts w:ascii="Arial" w:cs="Arial" w:eastAsia="Arial" w:hAnsi="Arial"/>
          <w:b/>
          <w:bCs/>
          <w:sz w:val="20"/>
          <w:szCs w:val="20"/>
        </w:rPr>
        <w:t>Observación: El Plan de Gestión de la Calidad (09, sección 6) se actualizó el 22-10-2026 con los 22 casos aprobados.</w:t>
      </w:r>
      <w:r>
        <w:rPr>
          <w:rFonts w:ascii="Arial" w:cs="Arial" w:eastAsia="Arial" w:hAnsi="Arial"/>
          <w:sz w:val="20"/>
          <w:szCs w:val="20"/>
        </w:rPr>
      </w:r>
    </w:p>
    <w:p>
      <w:pPr>
        <w:pStyle w:val="Heading1"/>
        <w:keepNext/>
        <w:spacing w:after="16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9. Casos de Prueba No Funcionales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Tabla 13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Casos de prueba no funcionales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0"/>
        <w:gridCol w:w="1500"/>
        <w:gridCol w:w="2860"/>
        <w:gridCol w:w="2200"/>
        <w:gridCol w:w="800"/>
        <w:gridCol w:w="1000"/>
      </w:tblGrid>
      <w:tr>
        <w:trPr>
          <w:tblHeader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</w:t>
            </w:r>
          </w:p>
        </w:tc>
        <w:tc>
          <w:tcPr>
            <w:tcW w:type="dxa" w:w="28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Procedimiento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Criterio de aceptación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RNF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Momento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CP-NF-01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Rendimiento de disponibilidad y confirmación</w:t>
            </w:r>
          </w:p>
        </w:tc>
        <w:tc>
          <w:tcPr>
            <w:tcW w:type="dxa" w:w="28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Prueba de carga sobre el endpoint de horarios con 50 usuarios concurrentes; medición del tiempo desde el retorno de la pasarela hasta el comprobante; medición del arranque en frío de la app.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Disponibilidad p95 &lt; 200 ms; confirmación &lt; 3 s; inicio de la app &lt; 1,5 s.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RNF-01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Integración (S12–S13)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CP-NF-02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Disponibilidad y modo sin conexión</w:t>
            </w:r>
          </w:p>
        </w:tc>
        <w:tc>
          <w:tcPr>
            <w:tcW w:type="dxa" w:w="28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Monitoreo de disponibilidad durante la marcha blanca; corte de red en la app (ver CP-76).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≥ 99,5% en horario de atención; la app opera en modo lectura y sincroniza al reconectar.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RNF-02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Marcha blanca (S14)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CP-NF-03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Cifrado y credenciales</w:t>
            </w:r>
          </w:p>
        </w:tc>
        <w:tc>
          <w:tcPr>
            <w:tcW w:type="dxa" w:w="28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Intento de conexión con TLS 1.0/1.1; inspección de la columna password_hash; escaneo de secretos en el repositorio.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Solo TLS 1.2+; hashes Argon2id o bcrypt; cero secretos en el código.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RNF-03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Seguridad (S13)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CP-NF-04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OWASP Top 10 básico</w:t>
            </w:r>
          </w:p>
        </w:tc>
        <w:tc>
          <w:tcPr>
            <w:tcW w:type="dxa" w:w="28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Pruebas de inyección SQL, XSS, control de acceso roto (consultar la reserva de otro cliente cambiando el ID) y configuración insegura.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Ninguna vulnerabilidad crítica o alta abierta.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RNF-03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Seguridad (S13)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CP-NF-05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Usabilidad del agendamiento</w:t>
            </w:r>
          </w:p>
        </w:tc>
        <w:tc>
          <w:tcPr>
            <w:tcW w:type="dxa" w:w="28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5 usuarios nuevos agendan sin ayuda; revisión de tamaño táctil y contraste.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Agendamiento &lt; 60 s; objetivos táctiles ≥ 48×48 dp; contraste WCAG 2.1 AA.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RNF-04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UAT (S13–S14)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CP-NF-06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Compatibilidad</w:t>
            </w:r>
          </w:p>
        </w:tc>
        <w:tc>
          <w:tcPr>
            <w:tcW w:type="dxa" w:w="28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Ejecución del flujo CP-32 en Android 8.0 (API 26) y en Chrome, Edge, Firefox y Safari.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flujo se completa sin errores en todas las plataformas.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RNF-05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Integración (S13)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CP-NF-07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Mantenibilidad y arquitectura</w:t>
            </w:r>
          </w:p>
        </w:tc>
        <w:tc>
          <w:tcPr>
            <w:tcW w:type="dxa" w:w="28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Revisión de capas (clientes → API REST → PostgreSQL) y ejecución de las pruebas automatizadas en cada integración.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Sin acceso directo de los clientes a la BD; pruebas automatizadas en verde.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RNF-06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Continuo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CP-NF-08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Privacidad por defecto y cumplimiento</w:t>
            </w:r>
          </w:p>
        </w:tc>
        <w:tc>
          <w:tcPr>
            <w:tcW w:type="dxa" w:w="28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Revisión de formularios, logs y reportes; ejecución de los casos CP-17 a CP-26.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Casillas promocionales desmarcadas; logs y reportes sin datos identificables directos; los 6 derechos operativos.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RNF-07, RNF-08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Privacidad (S13)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CP-NF-09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Respaldo y recuperación</w:t>
            </w:r>
          </w:p>
        </w:tc>
        <w:tc>
          <w:tcPr>
            <w:tcW w:type="dxa" w:w="28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Restauración del respaldo diario en un ambiente limpio.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Restauración completa en ≤ 4 h (RTO) con pérdida ≤ 24 h (RPO).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RNF-09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Seguridad (S13)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CP-NF-10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Trazabilidad</w:t>
            </w:r>
          </w:p>
        </w:tc>
        <w:tc>
          <w:tcPr>
            <w:tcW w:type="dxa" w:w="28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Muestreo de 20 accesos a datos personales y 5 cambios de configuración.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100% con registro en la auditoría.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RNF-10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Privacidad (S13)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CP-NF-11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Residencia de datos</w:t>
            </w:r>
          </w:p>
        </w:tc>
        <w:tc>
          <w:tcPr>
            <w:tcW w:type="dxa" w:w="28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Revisión de la región del proveedor de hosting y de los contratos con encargados.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>Transferencia internacional (Supabase, EE. UU.) declarada en la Política de Privacidad y en el Registro de Actividades de Tratamiento (RAT), con las garantías contractuales del proveedor.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RNF-11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Revisión documental (S13)</w:t>
            </w:r>
          </w:p>
        </w:tc>
      </w:tr>
    </w:tbl>
    <w:p>
      <w:pPr>
        <w:pStyle w:val="Heading1"/>
        <w:keepNext/>
        <w:spacing w:after="16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10. Pruebas de Aceptación de Usuario (UAT)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La UAT se realiza con el/la dueño/a y el personal de las sucursales sobre el ambiente de aceptación. Cada escenario se ejecuta de extremo a extremo y se evalúa con una encuesta de satisfacción de 1 a 5. La aprobación queda en el Acta de aceptación (hito H7).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Tabla 14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Escenarios de aceptación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2600"/>
        <w:gridCol w:w="1900"/>
        <w:gridCol w:w="1660"/>
        <w:gridCol w:w="2300"/>
      </w:tblGrid>
      <w:tr>
        <w:trPr>
          <w:tblHeader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Escenario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Participantes</w:t>
            </w:r>
          </w:p>
        </w:tc>
        <w:tc>
          <w:tcPr>
            <w:tcW w:type="dxa" w:w="1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Casos cubiertos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Criterio de aceptación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UAT-01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Un cliente nuevo agenda y paga su abono desde la app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Cliente (usuario real invitado por el dueño/a)</w:t>
            </w:r>
          </w:p>
        </w:tc>
        <w:tc>
          <w:tcPr>
            <w:tcW w:type="dxa" w:w="1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CP-01, CP-32, CP-44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Completa la reserva en &lt; 60 s sin ayuda.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UAT-02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Día peak por orden de llegada en una sucursal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Administrador/a de sucursal</w:t>
            </w:r>
          </w:p>
        </w:tc>
        <w:tc>
          <w:tcPr>
            <w:tcW w:type="dxa" w:w="1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CP-47, CP-48, CP-51, CP-54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Todos los turnos terminan en ATENDIDO o ABANDONO; ningún registro en Excel.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UAT-03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Reprogramación, cancelación y no-show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Cliente y administrador/a de sucursal</w:t>
            </w:r>
          </w:p>
        </w:tc>
        <w:tc>
          <w:tcPr>
            <w:tcW w:type="dxa" w:w="1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CP-38, CP-41, CP-42, CP-52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Las reglas de 24 h y del abono se aplican sin intervención manual.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UAT-04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Cierre del día y revisión de KPIs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Dueño/a</w:t>
            </w:r>
          </w:p>
        </w:tc>
        <w:tc>
          <w:tcPr>
            <w:tcW w:type="dxa" w:w="1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CP-55, CP-74, CP-75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Los totales coinciden con la caja física del día.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UAT-05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 de colaboradores y consulta del barbero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Dueño/a y barbero</w:t>
            </w:r>
          </w:p>
        </w:tc>
        <w:tc>
          <w:tcPr>
            <w:tcW w:type="dxa" w:w="1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CP-58, CP-09, CP-56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barbero ve sus atenciones y su total acumulado.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UAT-06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Ejercicio de un derecho del titular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Cliente y Dueño/a</w:t>
            </w:r>
          </w:p>
        </w:tc>
        <w:tc>
          <w:tcPr>
            <w:tcW w:type="dxa" w:w="1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CP-19, CP-21, CP-67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 solicitud se responde dentro del plazo y queda trazada.</w:t>
            </w:r>
          </w:p>
        </w:tc>
      </w:tr>
    </w:tbl>
    <w:p>
      <w:pPr>
        <w:pStyle w:val="Heading1"/>
        <w:keepNext/>
        <w:spacing w:after="16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11. Matriz de Trazabilidad Requerimiento – Caso de Prueba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La matriz vincula cada requerimiento funcional de la V1 con sus casos de uso y casos de prueba. Completa la matriz RF ↔ CU ↔ tablas ↔ casos de prueba prevista en el Plan de Gestión de la Calidad.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Tabla 15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Matriz de trazabilidad RF ↔ CU ↔ casos de prueba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1100"/>
        <w:gridCol w:w="2000"/>
        <w:gridCol w:w="3260"/>
        <w:gridCol w:w="2100"/>
      </w:tblGrid>
      <w:tr>
        <w:trPr>
          <w:tblHeader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RF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Prioridad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Casos de uso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Casos funcionales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Pruebas de BD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RF-01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CU-01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CP-01, CP-02, CP-03, CP-04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CP-BD-08, CP-BD-20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RF-02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CU-02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CP-06, CP-07, CP-08, CP-09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RF-03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CU-05, CU-06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CP-13, CP-14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CP-BD-07, CP-BD-08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RF-04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CU-04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CP-12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RF-05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CU-02, CU-31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CP-06, CP-15, CP-53, CP-59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CP-BD-18, CP-BD-19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RF-06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CP-16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RF-07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CU-17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CP-27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RF-08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Baja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CU-17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CP-27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RF-09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CU-18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CP-28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RF-10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CU-16, CU-30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CP-28, CP-57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CP-BD-21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RF-11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CU-20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CP-32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CP-BD-02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RF-12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CU-19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CP-29, CP-30, CP-33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CP-BD-03, CP-BD-04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RF-13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CU-18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CP-31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RF-14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CU-20, CU-21, CU-33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CP-32, CP-34, CP-36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CP-BD-15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RF-15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CU-21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CP-32, CP-34, CP-37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CP-BD-09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RF-16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CU-21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CP-32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RF-17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CU-25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CP-46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RF-18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CU-23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CP-41, CP-42, CP-43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CP-BD-04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RF-19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CU-01, CU-34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CP-05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RF-20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CU-29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CP-54, CP-66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RF-21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Baja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CP-65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RF-22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CU-34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CP-63, CP-64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RF-28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CU-24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CP-44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RF-29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CU-23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CP-41, CP-43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RF-30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CU-24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CP-44, CP-45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RF-31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CU-27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CP-49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RF-32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CU-28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CP-51, CP-53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RF-33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CU-27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CP-49, CP-50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RF-34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CU-29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CP-55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RF-35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CU-30, CU-31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CP-57, CP-58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CP-BD-21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RF-36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CP-76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RF-37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CP-77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CP-BD-01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RF-38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CU-03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CP-10, CP-11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RF-39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CU-22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CP-38, CP-39, CP-40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CP-BD-05, CP-BD-06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RF-40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CU-20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CP-35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RF-41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CU-26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CP-47, CP-48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CP-BD-11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RF-42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CU-29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CP-54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CP-BD-10, CP-BD-11, CP-BD-12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RF-43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CU-28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CP-52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RF-44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CU-33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CP-36, CP-62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CP-BD-15, CP-BD-22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RF-45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CU-32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CP-61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RF-46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CU-37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CP-74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RF-47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CU-38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CP-75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RF-48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CU-01, CU-05, CU-07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CP-01, CP-02, CP-13, CP-17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RF-49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CU-01, CU-06, CU-08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CP-01, CP-13, CP-18, CP-63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RF-50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CU-09, CU-10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CP-21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RF-51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CU-04, CU-11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CP-12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RF-52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CU-12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CP-22, CP-23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RF-53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CU-08, CU-13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CP-18, CP-24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RF-54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CU-14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CP-25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RF-55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CU-15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CP-26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RF-56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CU-09, CU-35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CP-19, CP-20, CP-67, CP-68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CP-BD-13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RF-57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CU-02, CU-36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CP-06, CP-15, CP-69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CP-BD-14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RF-58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CU-40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CP-70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RF-59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CU-39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CP-71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RF-60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CP-72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RF-61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CU-07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CP-17, CP-73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RF-62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CU-41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CP-56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RF-63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CU-31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CP-09, CP-58, CP-59, CP-60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CP-BD-16, CP-BD-17, CP-BD-18, CP-BD-19</w:t>
            </w:r>
          </w:p>
        </w:tc>
      </w:tr>
    </w:tbl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Tabla 16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Cobertura de requerimientos por prioridad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Prioridad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RF de la V1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RF con caso de prueba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Cobertura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Muy alta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100%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Alta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28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28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100%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Media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100%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Baja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100%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Total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58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58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100%</w:t>
            </w:r>
          </w:p>
        </w:tc>
      </w:tr>
    </w:tbl>
    <w:p>
      <w:pPr>
        <w:spacing w:after="200" w:before="6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Nota. </w:t>
      </w:r>
      <w:r>
        <w:rPr>
          <w:rFonts w:ascii="Arial" w:cs="Arial" w:eastAsia="Arial" w:hAnsi="Arial"/>
          <w:sz w:val="18"/>
          <w:szCs w:val="18"/>
        </w:rPr>
        <w:t xml:space="preserve">Meta del Plan de Gestión de la Calidad: 100% en prioridad Muy alta y Alta y ≥ 90% en total. La cobertura indica casos diseñados; la aprobación se mide al ejecutarlos.</w:t>
      </w:r>
    </w:p>
    <w:p>
      <w:pPr>
        <w:pStyle w:val="Heading1"/>
        <w:keepNext/>
        <w:spacing w:after="16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12. Registro de Ejecución y Defectos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Los 77 casos funcionales se distribuyen por prioridad así: 26 Muy alta, 38 Alta, 12 Media y 1 Baja. El registro se actualiza al cierre de cada ciclo y alimenta la métrica de defectos por iteración del Plan de Gestión de la Calidad.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Tabla 17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Resumen de ejecución por ciclo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900"/>
        <w:gridCol w:w="2560"/>
        <w:gridCol w:w="800"/>
        <w:gridCol w:w="800"/>
        <w:gridCol w:w="800"/>
        <w:gridCol w:w="900"/>
        <w:gridCol w:w="1300"/>
      </w:tblGrid>
      <w:tr>
        <w:trPr>
          <w:tblHeader/>
        </w:trPr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Ciclo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Semana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Alcance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Planif.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Ejec.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Aprob.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Fallidos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Base de datos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S10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CP-BD-01 a CP-BD-22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Cerrado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>API (integración)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>S12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>P-01 a P-20: reservas, pago Webpay, fila, «Mis datos» y personal (06_pruebas_api_s12.sql)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>20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>20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>20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>Cerrado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>API (seguridad)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>S12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>S-01 a S-16: permisos por rol, pago requerido, contacto oculto y bloqueo temporal (08_pruebas_seguridad.sql)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>16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>16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>16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>Cerrado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>Web automatizada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>S12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>Flujos de la web en Chrome automatizado (Puppeteer): 9 de integración y 4 de seguridad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>13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>13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>13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>Cerrado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Ciclo 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>S13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CP-01 a CP-77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77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Pendiente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Ciclo 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S13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CP-NF-01 a CP-NF-11 y regresión de casos Muy alta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Pendiente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UAT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S13–S14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UAT-01 a UAT-06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Pendiente</w:t>
            </w:r>
          </w:p>
        </w:tc>
      </w:tr>
    </w:tbl>
    <w:p>
      <w:pPr>
        <w:keepNext/>
        <w:spacing w:after="120" w:before="16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Cada defecto se registra con los siguientes campos: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Tabla 18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Campos del registro de defectos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ID del defecto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DEF-NNN, correlativo.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Caso de prueba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ID del caso en que se detectó.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Descripción y pasos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Qué ocurrió, pasos para reproducirlo y evidencia (captura o log sin datos personales).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Severidad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Crítica, Alta, Media o Baja (sección 5).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Estado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Abierto → En corrección → Corregido → Verificado → Cerrado.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Responsable y fechas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Quién corrige, fecha de detección y fecha de cierre.</w:t>
            </w:r>
          </w:p>
        </w:tc>
      </w:tr>
    </w:tbl>
    <w:p>
      <w:pPr>
        <w:pStyle w:val="Heading1"/>
        <w:keepNext/>
        <w:spacing w:after="16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Referencias</w:t>
      </w:r>
    </w:p>
    <w:p>
      <w:pPr>
        <w:spacing w:after="120" w:line="264"/>
        <w:ind w:left="720" w:hanging="720"/>
      </w:pPr>
      <w:r>
        <w:rPr>
          <w:rFonts w:ascii="Arial" w:cs="Arial" w:eastAsia="Arial" w:hAnsi="Arial"/>
          <w:sz w:val="20"/>
          <w:szCs w:val="20"/>
        </w:rPr>
        <w:t xml:space="preserve">International Organization for Standardization, International Electrotechnical Commission &amp; Institute of Electrical and Electronics Engineers [ISO/IEC/IEEE]. (2021). Software and systems engineering — Software testing — Part 3: Test documentation (ISO/IEC/IEEE 29119-3:2021).</w:t>
      </w:r>
    </w:p>
    <w:p>
      <w:pPr>
        <w:spacing w:after="120" w:line="264"/>
        <w:ind w:left="720" w:hanging="720"/>
      </w:pPr>
      <w:r>
        <w:rPr>
          <w:rFonts w:ascii="Arial" w:cs="Arial" w:eastAsia="Arial" w:hAnsi="Arial"/>
          <w:sz w:val="20"/>
          <w:szCs w:val="20"/>
        </w:rPr>
        <w:t xml:space="preserve">Ley N° 21.719. (2024, 13 de diciembre). Regula la protección y el tratamiento de los datos personales y crea la Agencia de Protección de Datos Personales. Diario Oficial de la República de Chile. https://www.bcn.cl/leychile/navegar?idNorma=1209272</w:t>
      </w:r>
    </w:p>
    <w:p>
      <w:pPr>
        <w:spacing w:after="120" w:line="264"/>
        <w:ind w:left="720" w:hanging="720"/>
      </w:pPr>
      <w:r>
        <w:rPr>
          <w:rFonts w:ascii="Arial" w:cs="Arial" w:eastAsia="Arial" w:hAnsi="Arial"/>
          <w:sz w:val="20"/>
          <w:szCs w:val="20"/>
        </w:rPr>
        <w:t xml:space="preserve">OWASP Foundation. (2021). OWASP Top 10:2021. https://owasp.org/Top10/</w:t>
      </w:r>
    </w:p>
    <w:p>
      <w:pPr>
        <w:spacing w:after="120" w:line="264"/>
        <w:ind w:left="720" w:hanging="720"/>
      </w:pPr>
      <w:r>
        <w:rPr>
          <w:rFonts w:ascii="Arial" w:cs="Arial" w:eastAsia="Arial" w:hAnsi="Arial"/>
          <w:sz w:val="20"/>
          <w:szCs w:val="20"/>
        </w:rPr>
        <w:t xml:space="preserve">World Wide Web Consortium [W3C]. (2018). Web Content Accessibility Guidelines (WCAG) 2.1. https://www.w3.org/TR/WCAG21/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2240" w:h="15840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88888"/>
        <w:sz w:val="16"/>
        <w:szCs w:val="16"/>
      </w:rPr>
      <w:t xml:space="preserve">Plan y Casos de Prueba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1F3864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y Casos de Prueba — Proyecto Barbería Big-Boys</dc:title>
  <dc:creator>Yerko Rosales B.</dc:creator>
  <cp:lastModifiedBy>Un-named</cp:lastModifiedBy>
  <cp:revision>1</cp:revision>
  <dcterms:created xsi:type="dcterms:W3CDTF">2026-10-09T22:54:26.875Z</dcterms:created>
  <dcterms:modified xsi:type="dcterms:W3CDTF">2026-10-09T22:54:26.878Z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