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Inventario y Resumen de Cambios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9 de octubre de 2026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1.0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Propósito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Este documento resume la actualización integral de la documentación del Proyecto Barbería Big-Boys realizada el 9 de octubre de 2026, con el código en pausa (stand by). Incluye el inventario inicial, los cambios por documento, los nuevos entregables, los diagramas y los supuestos que deben validarse.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Inventario inicial y cambios por documento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Inventario inicial y cambios por documento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615"/>
        <w:gridCol w:w="1425"/>
        <w:gridCol w:w="2375"/>
        <w:gridCol w:w="2850"/>
        <w:gridCol w:w="1235"/>
      </w:tblGrid>
      <w:tr>
        <w:trPr>
          <w:tblHeader/>
        </w:trPr>
        <w:tc>
          <w:tcPr>
            <w:tcW w:w="161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Documento</w:t>
            </w:r>
          </w:p>
        </w:tc>
        <w:tc>
          <w:tcPr>
            <w:tcW w:w="14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Estado al inicio</w:t>
            </w:r>
          </w:p>
        </w:tc>
        <w:tc>
          <w:tcPr>
            <w:tcW w:w="23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Desactualizado / inconsistente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Cambio realizado</w:t>
            </w:r>
          </w:p>
        </w:tc>
        <w:tc>
          <w:tcPr>
            <w:tcW w:w="12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4"/>
                <w:szCs w:val="14"/>
              </w:rPr>
              <w:t>¿Tenía protección de datos / gobierno?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Acta de Constitución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Contenido (v1.0)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2 sucursales; abono «porcentaje»; patrocinador pendiente; sin KPIs ni beneficios cuantificados; sin objetivo de datos personales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Reescrita v2.0: 3 sucursales, $3.000, KPIs y beneficios, OE5 y diferenciador Ley N° 21.719, Agencia como interesado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Acta Kick-Off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Contenido (registro de reunión)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2 sucursales; RUT obligatorio; abono «simulado»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Ajustes de nombre y sucursales; nota de actualización que prevalece sobre el texto original (se conserva el registro histórico)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ERS (IEEE 830)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Contenido (rev. 03)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37 RF / 6 RNF; RUT obligatorio; abono $5.000; Cloud Firestore; entrega 8-11; 2 sucursales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Rev. 04: 61 RF / 11 RNF; módulos J (privacidad), K (sucursal) y L (gobierno); BD relacional; fechas corregidas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Parcial (RNF-03 de seguridad y RUT; sin Ley N° 21.719 ni derechos)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DAS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Contenido (v2.1)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Firestore; 2 sucursales; modelo ER desactualizado; 4+1 incompleto (sin diagramas de procesos, desarrollo ni casos de uso)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v3.0: 4+1 completo con 34 diagramas, BD relacional, despliegue actual y futuro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Parcial (seguridad técnica, sin gobierno de datos)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Matriz RACI (xlsx)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Contenido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«Ambas sucursales»; sin actividades de datos, riesgos ni cambios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3 sucursales y 8 actividades nuevas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02 Plan de Interesados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 (GPY6111, «Blade &amp; Co.»)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Completo; Agencia de Protección de Datos como interesado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03 Plan de Dirección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Completo; enfoque híbrido; gobierno de datos transversal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04 Documento de Requerimientos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5 RF de ejemplo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61 RF / 11 RNF con criterios y trazabilidad a objetivos y CU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05 Informe de Alcance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Completo con justificación cuantificada (KPIs) y supuestos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06 EDT y Diccionario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26 paquetes, diagrama WBS y diccionario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07 Cronograma y Gantt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Actividades, Carta Gantt, ruta crítica e hitos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08 Plan de Costos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Línea base valorizada, KPIs, impacto, ROI, costos cloud y valor Ley N° 21.719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09 Plan de Calidad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Objetivos, normas (ISO 25010, OWASP, Ley N° 21.719), métricas y KPIs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 Recursos, Comunicaciones y Adquisiciones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Completo; contratos de encargo de tratamiento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11 Control de Cambios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Proceso, CCB y registro SC-01 a SC-10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12 Informe de Avance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Estado al 06-10-2026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13 Acta de Cierre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Borrador v0.9 (se completa al cierre)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14 Informe de Cierre y Lecciones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Plantilla vacía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100% [COMPLETAR]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Borrador v0.9 con lecciones aprendidas a la fecha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Guía 1.5 Fase 1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Entregado (04-09)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Abono «porcentaje»; Fase 3 al 8-11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Abono $3.000 y fecha 13-11 corregidos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Presentación Fase 1 (pptx)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Presentado (04-09)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Objetivo «reemplace» la atención por orden de llegada (incorrecto); abono «porcentaje»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Objetivo corregido, abono y temas abiertos actualizados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Presentación de Avance Fase 2 (pptx)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Presentado (11-09)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Estado al 11-09; sin KPIs ni cumplimiento normativo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Estado al 06-10 y 5 láminas nuevas (KPIs, impacto/ROI, abono, Ley N° 21.719, arquitectura)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README del repositorio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Contenido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Avance 30%; temas abiertos ya resueltos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Actualizado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Evidencias individuales (autoevaluaciones y diarios)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Entregadas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—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 se modifican (documentos personales)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 aplica</w:t>
            </w:r>
          </w:p>
        </w:tc>
      </w:tr>
      <w:tr>
        <w:trPr>
          <w:cantSplit/>
        </w:trPr>
        <w:tc>
          <w:tcPr>
            <w:tcW w:w="161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Placeholders Fase 2/3 (0 bytes)</w:t>
            </w:r>
          </w:p>
        </w:tc>
        <w:tc>
          <w:tcPr>
            <w:tcW w:w="14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Vacíos</w:t>
            </w:r>
          </w:p>
        </w:tc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Guía 2.4, Informe 2.6, diarios y presentación final pendientes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 se modifican (entregables futuros)</w:t>
            </w:r>
          </w:p>
        </w:tc>
        <w:tc>
          <w:tcPr>
            <w:tcW w:w="12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 aplica</w:t>
            </w:r>
          </w:p>
        </w:tc>
      </w:tr>
      <w:tr>
        <w:trPr>
          <w:cantSplit/>
        </w:trPr>
        <w:tc>
          <w:tcPr>
            <w:tcW w:w="16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Análisis Modelo de Datos (memo del 06-10)</w:t>
            </w:r>
          </w:p>
        </w:tc>
        <w:tc>
          <w:tcPr>
            <w:tcW w:w="14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Contenido</w:t>
            </w:r>
          </w:p>
        </w:tc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Memo interno para el equipo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Se conserva como antecedente (sus recomendaciones quedaron incorporadas)</w:t>
            </w:r>
          </w:p>
        </w:tc>
        <w:tc>
          <w:tcPr>
            <w:tcW w:w="12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4"/>
                <w:szCs w:val="14"/>
              </w:rPr>
              <w:t>No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Nuevos entregables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Nuevos entregables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800"/>
        <w:gridCol w:w="5700"/>
      </w:tblGrid>
      <w:tr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15_Plan_Gestion_Riesgos.docx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13 riesgos, matriz P×I y riesgo regulatorio cuantificado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16_Diseno_Base_de_Datos.docx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MER, modelo relacional (26 tablas), diccionario con clasificación/finalidad/plazo, DDL y validación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17_Especificacion_Casos_de_Uso.docx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40 casos de uso con diagramas por módulo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Anexo_A_Cumplimiento_Normativo_y_Gobierno_de_Datos.docx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Marco legal, matriz de cumplimiento, brechas, RAT y gobierno DAMA-DMBOK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Politica_de_Privacidad_y_Terminos_y_Condiciones.docx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Textos listos para publicar (con campos por completar)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KPIs_y_Costos_Barberia_Big-Boys.xlsx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Modelo de KPIs, ROI y costos cloud con fórmulas y supuestos editables</w:t>
            </w:r>
          </w:p>
        </w:tc>
      </w:tr>
      <w:tr>
        <w:trPr>
          <w:cantSplit/>
        </w:trPr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Diagramas/ (PNG, SVG y PlantUML)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34 diagramas numerados con código fuente</w:t>
            </w:r>
          </w:p>
        </w:tc>
      </w:tr>
      <w:tr>
        <w:trPr>
          <w:cantSplit/>
        </w:trPr>
        <w:tc>
          <w:tcPr>
            <w:tcW w:w="38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Base_de_Datos/bigboys_ddl.sql</w:t>
            </w:r>
          </w:p>
        </w:tc>
        <w:tc>
          <w:tcPr>
            <w:tcW w:w="57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Script DDL PostgreSQL validado (14/14 pruebas)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Diagramas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Diagramas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855"/>
        <w:gridCol w:w="3135"/>
        <w:gridCol w:w="1900"/>
        <w:gridCol w:w="3610"/>
      </w:tblGrid>
      <w:tr>
        <w:trPr>
          <w:tblHeader/>
        </w:trPr>
        <w:tc>
          <w:tcPr>
            <w:tcW w:w="85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ID</w:t>
            </w:r>
          </w:p>
        </w:tc>
        <w:tc>
          <w:tcPr>
            <w:tcW w:w="31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Título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Vista / uso</w:t>
            </w:r>
          </w:p>
        </w:tc>
        <w:tc>
          <w:tcPr>
            <w:tcW w:w="36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3"/>
                <w:szCs w:val="13"/>
              </w:rPr>
              <w:t>Archivo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DIAG-01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lógica: capas y paquetes del sistema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lógica (4+1)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DIAG-01_Vista_logica_capas_y_paquetes_del_sistema.png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DIAG-02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lógica: modelo de clases del dominio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lógica (4+1)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DIAG-02_Vista_logica_modelo_de_clases_del_dominio.png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DIAG-03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procesos: secuencia de reserva con abono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secuencia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DIAG-03_Vista_de_procesos_secuencia_de_reserva_con_abono.png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DIAG-04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procesos: secuencia de atención por orden de llegada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secuencia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DIAG-04_Vista_de_procesos_secuencia_de_atencion_por_orden_de_llegada.png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DIAG-05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procesos: secuencia de cancelación, reprogramación y no-show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secuencia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DIAG-05_Vista_de_procesos_secuencia_de_cancelacion_reprogramacion_y_no_show.png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DIAG-06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procesos: secuencia de solicitud de derechos del titular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secuencia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DIAG-06_Vista_de_procesos_secuencia_de_solicitud_de_derechos_del_titular.png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DIAG-07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Diagrama de actividades: proceso de reserva con abono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actividades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DIAG-07_Diagrama_de_actividades_proceso_de_reserva_con_abono.png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DIAG-08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Diagrama de actividades: atención presencial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actividades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DIAG-08_Diagrama_de_actividades_atencion_presencial.png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DIAG-09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Diagrama de actividades: cancelación y devolución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actividades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DIAG-09_Diagrama_de_actividades_cancelacion_y_devolucion.png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DIAG-10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Diagrama de actividades: flujo del invitado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actividades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DIAG-10_Diagrama_de_actividades_flujo_del_invitado.png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DIAG-11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Diagrama de actividades: solicitud de eliminación de datos (supresión)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actividades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DIAG-11_Diagrama_de_actividades_solicitud_de_eliminacion_de_datos_supresion.png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DIAG-12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desarrollo: componentes y módulos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desarrollo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DIAG-12_Vista_de_desarrollo_componentes_y_modulos.png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DIAG-13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física: despliegue actual (3 sucursales)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física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DIAG-13_Vista_fisica_despliegue_actual_3_sucursales.png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DIAG-14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física: despliegue futuro escalado en cloud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física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DIAG-14_Vista_fisica_despliegue_futuro_escalado_en_cloud.png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DIAG-15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escenarios: diagrama general de casos de uso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escenarios — casos de uso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DIAG-15_Vista_de_escenarios_diagrama_general_de_casos_de_uso.png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DIAG-16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Casos de uso: cuenta y acceso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escenarios — casos de uso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DIAG-16_Casos_de_uso_cuenta_y_acceso.png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DIAG-17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Casos de uso: privacidad y derechos del titular («Mis datos»)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escenarios — casos de uso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DIAG-17_Casos_de_uso_privacidad_y_derechos_del_titular_Mis_datos.png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DIAG-18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Casos de uso: catálogo, agendamiento y pagos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escenarios — casos de uso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DIAG-18_Casos_de_uso_catalogo_agendamiento_y_pagos.png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DIAG-19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Casos de uso: atención en sucursal y orden de llegada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escenarios — casos de uso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DIAG-19_Casos_de_uso_atencion_en_sucursal_y_orden_de_llegada.png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DIAG-20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Casos de uso: administración del negocio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escenarios — casos de uso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DIAG-20_Casos_de_uso_administracion_del_negocio.png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DIAG-21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Casos de uso: cumplimiento y auditoría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escenarios — casos de uso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DIAG-21_Casos_de_uso_cumplimiento_y_auditoria.png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DIAG-22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Casos de uso: KPIs y reportes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escenarios — casos de uso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DIAG-22_Casos_de_uso_KPIs_y_reportes.png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DIAG-23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Diagrama de estados: Reserva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estados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DIAG-23_Diagrama_de_estados_Reserva.png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DIAG-24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Diagrama de estados: Pago (abono)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estados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DIAG-24_Diagrama_de_estados_Pago_abono.png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DIAG-25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Diagrama de estados: Turno de orden de llegada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estados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DIAG-25_Diagrama_de_estados_Turno_de_orden_de_llegada.png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DIAG-26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Diagrama de estados: Solicitud de derechos del titular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 — estados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DIAG-26_Diagrama_de_estados_Solicitud_de_derechos_del_titular.png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DIAG-27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Modelo Entidad-Relación conceptual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Base de datos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DIAG-27_Modelo_Entidad_Relacion_conceptual.png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DIAG-28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Modelo relacional (lógico) de la base de datos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Base de datos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DIAG-28_Modelo_relacional_logico_de_la_base_de_datos.png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DIAG-29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Gobierno de datos: ciclo de vida del dato personal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Gobierno de datos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DIAG-29_Gobierno_de_datos_ciclo_de_vida_del_dato_personal.png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DIAG-30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Estructura de Desglose del Trabajo (EDT)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Planificación (EDT / Gantt)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DIAG-30_Estructura_de_Desglose_del_Trabajo_EDT.png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DIAG-31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Carta Gantt del proyecto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Planificación (EDT / Gantt)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DIAG-31_Carta_Gantt_del_proyecto.png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DIAG-32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Pantalla: registro con consentimiento informado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Pantallas (wireframes)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DIAG-32_Pantalla_registro_con_consentimiento_informado.png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DIAG-33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Pantalla: pop-up promocional para invitados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Pantallas (wireframes)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DIAG-33_Pantalla_pop_up_promocional_para_invitados.png / .svg / .puml</w:t>
            </w:r>
          </w:p>
        </w:tc>
      </w:tr>
      <w:tr>
        <w:trPr>
          <w:cantSplit/>
        </w:trPr>
        <w:tc>
          <w:tcPr>
            <w:tcW w:w="85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DIAG-34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Pantalla: módulo «Mis datos» (derechos del titular)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Pantallas (wireframes)</w:t>
            </w:r>
          </w:p>
        </w:tc>
        <w:tc>
          <w:tcPr>
            <w:tcW w:w="36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DIAG-34_Pantalla_modulo_Mis_datos_derechos_del_titular.png / .svg / .puml</w:t>
            </w:r>
          </w:p>
        </w:tc>
      </w:tr>
      <w:tr>
        <w:trPr>
          <w:cantSplit/>
        </w:trPr>
        <w:tc>
          <w:tcPr>
            <w:tcW w:w="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DIAG-35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Vista de procesos: secuencia de consulta de atenciones y ganancias del barbero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Pantallas (wireframes)</w:t>
            </w:r>
          </w:p>
        </w:tc>
        <w:tc>
          <w:tcPr>
            <w:tcW w:w="36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3"/>
                <w:szCs w:val="13"/>
              </w:rPr>
              <w:t>DIAG-35_Vista_de_procesos_secuencia_de_consulta_de_atenciones_y_ganancias_del_barbero.png / .svg / .puml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Datos del negocio aplicados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Datos del negocio aplicados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950"/>
        <w:gridCol w:w="3135"/>
        <w:gridCol w:w="3135"/>
        <w:gridCol w:w="1140"/>
        <w:gridCol w:w="1140"/>
      </w:tblGrid>
      <w:tr>
        <w:trPr>
          <w:tblHeader/>
        </w:trPr>
        <w:tc>
          <w:tcPr>
            <w:tcW w:w="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31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Sucursal</w:t>
            </w:r>
          </w:p>
        </w:tc>
        <w:tc>
          <w:tcPr>
            <w:tcW w:w="313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Dirección</w:t>
            </w:r>
          </w:p>
        </w:tc>
        <w:tc>
          <w:tcPr>
            <w:tcW w:w="11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Atendidos/día peak</w:t>
            </w:r>
          </w:p>
        </w:tc>
        <w:tc>
          <w:tcPr>
            <w:tcW w:w="11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Se van/día peak</w:t>
            </w:r>
          </w:p>
        </w:tc>
      </w:tr>
      <w:tr>
        <w:trPr>
          <w:cantSplit/>
        </w:trPr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SUC-01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Peñaflor – Sucursal 21 de Mayo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21 de Mayo 4566, Peñaflor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70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12</w:t>
            </w:r>
          </w:p>
        </w:tc>
      </w:tr>
      <w:tr>
        <w:trPr>
          <w:cantSplit/>
        </w:trPr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SUC-02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Peñaflor – Sucursal Alcalde Luis Araya Cereceda</w:t>
            </w:r>
          </w:p>
        </w:tc>
        <w:tc>
          <w:tcPr>
            <w:tcW w:w="313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Alcalde Luis Araya Cereceda 4387, Peñaflor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30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7</w:t>
            </w:r>
          </w:p>
        </w:tc>
      </w:tr>
      <w:tr>
        <w:trPr>
          <w:cantSplit/>
        </w:trPr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SUC-03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Talagante</w:t>
            </w:r>
          </w:p>
        </w:tc>
        <w:tc>
          <w:tcPr>
            <w:tcW w:w="31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Boulevard del Centro, local 3, Talagante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30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7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Abono: $3.000 fijo (parametrizable). Período: 14-08-2026 al 13-11-2026; defensa probable 27-11-2026. Fases: F1 14-08 a 04-09; F2 07-09 a 18-10; F3 19-10 a 13-11. Presentación de avance del proyecto: viernes 23-10-2026 (S11).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6. Supuestos por validar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5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Supuestos de cálculo (marcados para validación)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760"/>
        <w:gridCol w:w="4750"/>
        <w:gridCol w:w="2850"/>
        <w:gridCol w:w="1140"/>
      </w:tblGrid>
      <w:tr>
        <w:trPr>
          <w:tblHeader/>
        </w:trPr>
        <w:tc>
          <w:tcPr>
            <w:tcW w:w="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4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Supuesto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Valor usado</w:t>
            </w:r>
          </w:p>
        </w:tc>
        <w:tc>
          <w:tcPr>
            <w:tcW w:w="11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S-01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Interpretación de las cifras de demanda: «clientes/día» = clientes atendidos en día peak; «se van» se suma para obtener la demanda total.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Demanda peak = 156 clientes/día (130 atendidos + 26 se van)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S-02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Días de operación por semana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6 días (lunes a sábado)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S-03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Días peak por semana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 días (viernes y sábado)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S-04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Factor de demanda de un día normal respecto del peak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60% de los atendidos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S-05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Factor de abandono de un día normal respecto del peak (menor congestión)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30% de los que se van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S-06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Semanas por mes / por año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4,33 / 52 (sin descontar feriados)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S-07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Precio de referencia para valorizar clientes perdidos: Corte (no se sabe qué servicio habría tomado cada cliente)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$11.900 (precio real del negocio)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Dato del negocio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S-08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Margen de contribución del local (tras comisión del barbero)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50%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S-09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Adopción de reserva online en régimen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30% de las atenciones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S-10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No-show de una reserva sin abono (referencial) / con abono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15% / 5%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S-11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Mezcla de medios de pago del abono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60% débito/prepago, 40% crédito</w:t>
            </w:r>
          </w:p>
        </w:tc>
        <w:tc>
          <w:tcPr>
            <w:tcW w:w="1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S-12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Esfuerzo del equipo y valorización de la hora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312 h × $6.111/h</w:t>
            </w:r>
          </w:p>
        </w:tc>
        <w:tc>
          <w:tcPr>
            <w:tcW w:w="11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</w:tbl>
    <w:p>
      <w:pPr>
        <w:spacing w:before="60" w:after="160" w:line="252" w:lineRule="auto"/>
      </w:pPr>
      <w:r>
        <w:rPr>
          <w:rFonts w:ascii="Arial" w:hAnsi="Arial" w:cs="Arial" w:eastAsia="Arial"/>
          <w:i/>
          <w:iCs/>
          <w:sz w:val="19"/>
          <w:szCs w:val="19"/>
        </w:rPr>
        <w:t xml:space="preserve">Nota. </w:t>
      </w:r>
      <w:r>
        <w:rPr>
          <w:rFonts w:ascii="Arial" w:hAnsi="Arial" w:cs="Arial" w:eastAsia="Arial"/>
          <w:sz w:val="19"/>
          <w:szCs w:val="19"/>
        </w:rPr>
        <w:t>Supuestos definidos por el equipo de proyecto; el valor hora se basa en el sueldo bruto de referencia de un desarrollador junior (Indeed, 2026).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6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Supuestos por validar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760"/>
        <w:gridCol w:w="6840"/>
        <w:gridCol w:w="1900"/>
      </w:tblGrid>
      <w:tr>
        <w:trPr>
          <w:tblHeader/>
        </w:trPr>
        <w:tc>
          <w:tcPr>
            <w:tcW w:w="7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68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Supuesto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S-13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Cancelación con ≥ 24 h deja saldo a favor; cancelación del local devuelve el 100%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S-20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Lavado, Cejas y Mascarillas no se agendan en línea (precio cercano o menor al abono)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Confirmado (07-10-2026)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S-21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Duración de servicios: máximo 60 min (S. Completo) confirmado; resto estimado menor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Máximo confirmado; resto por validar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S-14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Tolerancia de 15 minutos antes de marcar no-show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S-15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15 minutos para pagar el abono antes de liberar el cupo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S-16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Barberos por sucursal (4/2/2) y jornada de 9 h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S-17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Plazos de conservación de datos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Validar con asesoría legal/contable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S-18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120 h para adecuar el sistema después del lanzamiento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Por validar</w:t>
            </w:r>
          </w:p>
        </w:tc>
      </w:tr>
      <w:tr>
        <w:trPr>
          <w:cantSplit/>
        </w:trPr>
        <w:tc>
          <w:tcPr>
            <w:tcW w:w="7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S-19</w:t>
            </w:r>
          </w:p>
        </w:tc>
        <w:tc>
          <w:tcPr>
            <w:tcW w:w="68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Edad mínima de 14 años para usar el servicio sin representante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Validar con asesoría legal</w:t>
            </w:r>
          </w:p>
        </w:tc>
      </w:tr>
      <w:tr>
        <w:trPr>
          <w:cantSplit/>
        </w:trPr>
        <w:tc>
          <w:tcPr>
            <w:tcW w:w="76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—</w:t>
            </w:r>
          </w:p>
        </w:tc>
        <w:tc>
          <w:tcPr>
            <w:tcW w:w="684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Nombre del patrocinador, razón social, RUT de la empresa y correo de contacto de privacidad</w:t>
            </w:r>
          </w:p>
        </w:tc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Datos faltantes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7. Pendientes y recomendaciones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Revocar la clave de aplicación de Gmail expuesta en el código del prototipo y mover secretos a variables de entorno antes de subir el código al repositorio.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Validar los supuestos con el/la dueño/a y actualizar las cifras en el libro Excel (las fórmulas recalculan).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Completar los campos [POR COMPLETAR] de la Política de Privacidad antes de publicarla.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Aprobación formal del CCB de las solicitudes SC-02, SC-03, SC-05 y SC-06.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Subir estos documentos a la carpeta de Drive del proyecto y al repositorio (no se hizo automáticamente).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Retomar el código el 13-10-2026 con la migración a PostgreSQL (actividad crítica 1.4.3).</w:t>
      </w: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Amazon Web Services [AWS]. (2026). </w:t>
      </w:r>
      <w:r>
        <w:rPr>
          <w:rFonts w:ascii="Arial" w:hAnsi="Arial" w:cs="Arial" w:eastAsia="Arial"/>
          <w:i/>
          <w:iCs/>
          <w:sz w:val="22"/>
          <w:szCs w:val="22"/>
        </w:rPr>
        <w:t>AWS Price List: Amazon EC2, Amazon RDS for PostgreSQL y Amazon S3, región South America (São Paulo)</w:t>
      </w:r>
      <w:r>
        <w:rPr>
          <w:rFonts w:ascii="Arial" w:hAnsi="Arial" w:cs="Arial" w:eastAsia="Arial"/>
          <w:sz w:val="22"/>
          <w:szCs w:val="22"/>
        </w:rPr>
        <w:t xml:space="preserve"> [Conjunto de datos]. Recuperado el 6 de octubre de 2026, de https://b0.p.awsstatic.com/pricing/2.0/meteredUnitMaps/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Amazon. (2025, 7 de mayo). </w:t>
      </w:r>
      <w:r>
        <w:rPr>
          <w:rFonts w:ascii="Arial" w:hAnsi="Arial" w:cs="Arial" w:eastAsia="Arial"/>
          <w:i/>
          <w:iCs/>
          <w:sz w:val="22"/>
          <w:szCs w:val="22"/>
        </w:rPr>
        <w:t>Amazon to invest more than $4 billion to launch infrastructure region in Chile</w:t>
      </w:r>
      <w:r>
        <w:rPr>
          <w:rFonts w:ascii="Arial" w:hAnsi="Arial" w:cs="Arial" w:eastAsia="Arial"/>
          <w:sz w:val="22"/>
          <w:szCs w:val="22"/>
        </w:rPr>
        <w:t xml:space="preserve"> [Comunicado de prensa]. Business Wire. https://www.businesswire.com/news/home/20250507585471/en/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Bytebase. (2026). </w:t>
      </w:r>
      <w:r>
        <w:rPr>
          <w:rFonts w:ascii="Arial" w:hAnsi="Arial" w:cs="Arial" w:eastAsia="Arial"/>
          <w:i/>
          <w:iCs/>
          <w:sz w:val="22"/>
          <w:szCs w:val="22"/>
        </w:rPr>
        <w:t>Google Cloud SQL pricing: every machine type, Enterprise &amp; Enterprise Plus</w:t>
      </w:r>
      <w:r>
        <w:rPr>
          <w:rFonts w:ascii="Arial" w:hAnsi="Arial" w:cs="Arial" w:eastAsia="Arial"/>
          <w:sz w:val="22"/>
          <w:szCs w:val="22"/>
        </w:rPr>
        <w:t>. Recuperado el 6 de octubre de 2026, de https://www.bytebase.com/dbcost/cloudsql-pricing/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Carey Abogados. (2026). </w:t>
      </w:r>
      <w:r>
        <w:rPr>
          <w:rFonts w:ascii="Arial" w:hAnsi="Arial" w:cs="Arial" w:eastAsia="Arial"/>
          <w:i/>
          <w:iCs/>
          <w:sz w:val="22"/>
          <w:szCs w:val="22"/>
        </w:rPr>
        <w:t>Gobierno ingresa proyecto de ley que posterga en un año entrada en vigor de la Ley 21.719 sobre Protección de Datos Personales y fortalece la institucionalidad de la Agencia de Protección de Datos Personales</w:t>
      </w:r>
      <w:r>
        <w:rPr>
          <w:rFonts w:ascii="Arial" w:hAnsi="Arial" w:cs="Arial" w:eastAsia="Arial"/>
          <w:sz w:val="22"/>
          <w:szCs w:val="22"/>
        </w:rPr>
        <w:t>. https://www.carey.cl/gobierno-ingresa-proyecto-de-ley-que-posterga-en-un-ano-entrada-en-vigor-de-la-ley-sobre-proteccion-de-datos-personales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DAMA International. (2017). </w:t>
      </w:r>
      <w:r>
        <w:rPr>
          <w:rFonts w:ascii="Arial" w:hAnsi="Arial" w:cs="Arial" w:eastAsia="Arial"/>
          <w:i/>
          <w:iCs/>
          <w:sz w:val="22"/>
          <w:szCs w:val="22"/>
        </w:rPr>
        <w:t>DAMA-DMBOK: Data management body of knowledge</w:t>
      </w:r>
      <w:r>
        <w:rPr>
          <w:rFonts w:ascii="Arial" w:hAnsi="Arial" w:cs="Arial" w:eastAsia="Arial"/>
          <w:sz w:val="22"/>
          <w:szCs w:val="22"/>
        </w:rPr>
        <w:t xml:space="preserve"> (2.ª ed.). Technics Publications.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Digitalízame. (2026). </w:t>
      </w:r>
      <w:r>
        <w:rPr>
          <w:rFonts w:ascii="Arial" w:hAnsi="Arial" w:cs="Arial" w:eastAsia="Arial"/>
          <w:i/>
          <w:iCs/>
          <w:sz w:val="22"/>
          <w:szCs w:val="22"/>
        </w:rPr>
        <w:t>Comisiones de Transbank, Mercado Pago y Flow en Chile (2026)</w:t>
      </w:r>
      <w:r>
        <w:rPr>
          <w:rFonts w:ascii="Arial" w:hAnsi="Arial" w:cs="Arial" w:eastAsia="Arial"/>
          <w:sz w:val="22"/>
          <w:szCs w:val="22"/>
        </w:rPr>
        <w:t>. https://digitalizame.cl/comisiones-pasarelas-de-pago-chile/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gcloud-compute.com. (2026). </w:t>
      </w:r>
      <w:r>
        <w:rPr>
          <w:rFonts w:ascii="Arial" w:hAnsi="Arial" w:cs="Arial" w:eastAsia="Arial"/>
          <w:i/>
          <w:iCs/>
          <w:sz w:val="22"/>
          <w:szCs w:val="22"/>
        </w:rPr>
        <w:t>e2-small: Google Compute Engine machine type pricing</w:t>
      </w:r>
      <w:r>
        <w:rPr>
          <w:rFonts w:ascii="Arial" w:hAnsi="Arial" w:cs="Arial" w:eastAsia="Arial"/>
          <w:sz w:val="22"/>
          <w:szCs w:val="22"/>
        </w:rPr>
        <w:t>. Recuperado el 6 de octubre de 2026, de https://gcloud-compute.com/e2-small.html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Google Cloud. (2026). </w:t>
      </w:r>
      <w:r>
        <w:rPr>
          <w:rFonts w:ascii="Arial" w:hAnsi="Arial" w:cs="Arial" w:eastAsia="Arial"/>
          <w:i/>
          <w:iCs/>
          <w:sz w:val="22"/>
          <w:szCs w:val="22"/>
        </w:rPr>
        <w:t>Standard Support</w:t>
      </w:r>
      <w:r>
        <w:rPr>
          <w:rFonts w:ascii="Arial" w:hAnsi="Arial" w:cs="Arial" w:eastAsia="Arial"/>
          <w:sz w:val="22"/>
          <w:szCs w:val="22"/>
        </w:rPr>
        <w:t>. Recuperado el 6 de octubre de 2026, de https://cloud.google.com/support/standard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IEEE. (1998). </w:t>
      </w:r>
      <w:r>
        <w:rPr>
          <w:rFonts w:ascii="Arial" w:hAnsi="Arial" w:cs="Arial" w:eastAsia="Arial"/>
          <w:i/>
          <w:iCs/>
          <w:sz w:val="22"/>
          <w:szCs w:val="22"/>
        </w:rPr>
        <w:t>IEEE recommended practice for software requirements specifications</w:t>
      </w:r>
      <w:r>
        <w:rPr>
          <w:rFonts w:ascii="Arial" w:hAnsi="Arial" w:cs="Arial" w:eastAsia="Arial"/>
          <w:sz w:val="22"/>
          <w:szCs w:val="22"/>
        </w:rPr>
        <w:t xml:space="preserve"> (IEEE Std 830-1998). https://doi.org/10.1109/IEEESTD.1998.88286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Indeed. (2026). </w:t>
      </w:r>
      <w:r>
        <w:rPr>
          <w:rFonts w:ascii="Arial" w:hAnsi="Arial" w:cs="Arial" w:eastAsia="Arial"/>
          <w:i/>
          <w:iCs/>
          <w:sz w:val="22"/>
          <w:szCs w:val="22"/>
        </w:rPr>
        <w:t>Sueldo de desarrollador/a junior en Chile</w:t>
      </w:r>
      <w:r>
        <w:rPr>
          <w:rFonts w:ascii="Arial" w:hAnsi="Arial" w:cs="Arial" w:eastAsia="Arial"/>
          <w:sz w:val="22"/>
          <w:szCs w:val="22"/>
        </w:rPr>
        <w:t>. Recuperado el 6 de octubre de 2026, de https://cl.indeed.com/career/desarrollador-junior/salaries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International Organization for Standardization &amp; International Electrotechnical Commission [ISO/IEC]. (2011). </w:t>
      </w:r>
      <w:r>
        <w:rPr>
          <w:rFonts w:ascii="Arial" w:hAnsi="Arial" w:cs="Arial" w:eastAsia="Arial"/>
          <w:i/>
          <w:iCs/>
          <w:sz w:val="22"/>
          <w:szCs w:val="22"/>
        </w:rPr>
        <w:t>Systems and software engineering — Systems and software Quality Requirements and Evaluation (SQuaRE) — System and software quality models</w:t>
      </w:r>
      <w:r>
        <w:rPr>
          <w:rFonts w:ascii="Arial" w:hAnsi="Arial" w:cs="Arial" w:eastAsia="Arial"/>
          <w:sz w:val="22"/>
          <w:szCs w:val="22"/>
        </w:rPr>
        <w:t xml:space="preserve"> (ISO/IEC 25010:2011).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Kruchten, P. B. (1995). The 4+1 view model of architecture. </w:t>
      </w:r>
      <w:r>
        <w:rPr>
          <w:rFonts w:ascii="Arial" w:hAnsi="Arial" w:cs="Arial" w:eastAsia="Arial"/>
          <w:i/>
          <w:iCs/>
          <w:sz w:val="22"/>
          <w:szCs w:val="22"/>
        </w:rPr>
        <w:t>IEEE Software, 12</w:t>
      </w:r>
      <w:r>
        <w:rPr>
          <w:rFonts w:ascii="Arial" w:hAnsi="Arial" w:cs="Arial" w:eastAsia="Arial"/>
          <w:sz w:val="22"/>
          <w:szCs w:val="22"/>
        </w:rPr>
        <w:t>(6), 42–50. https://doi.org/10.1109/52.469759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19.496. (1997, 7 de marzo). </w:t>
      </w:r>
      <w:r>
        <w:rPr>
          <w:rFonts w:ascii="Arial" w:hAnsi="Arial" w:cs="Arial" w:eastAsia="Arial"/>
          <w:i/>
          <w:iCs/>
          <w:sz w:val="22"/>
          <w:szCs w:val="22"/>
        </w:rPr>
        <w:t>Establece normas sobre protección de los derechos de los consumidores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https://www.bcn.cl/leychile/navegar?idNorma=61438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19.628. (1999, 28 de agosto). </w:t>
      </w:r>
      <w:r>
        <w:rPr>
          <w:rFonts w:ascii="Arial" w:hAnsi="Arial" w:cs="Arial" w:eastAsia="Arial"/>
          <w:i/>
          <w:iCs/>
          <w:sz w:val="22"/>
          <w:szCs w:val="22"/>
        </w:rPr>
        <w:t>Sobre protección de la vida privada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https://www.bcn.cl/leychile/navegar?idNorma=141599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21.719. (2024, 13 de diciembre). </w:t>
      </w:r>
      <w:r>
        <w:rPr>
          <w:rFonts w:ascii="Arial" w:hAnsi="Arial" w:cs="Arial" w:eastAsia="Arial"/>
          <w:i/>
          <w:iCs/>
          <w:sz w:val="22"/>
          <w:szCs w:val="22"/>
        </w:rPr>
        <w:t>Regula la protección y el tratamiento de los datos personales y crea la Agencia de Protección de Datos Personales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https://www.bcn.cl/leychile/navegar?idNorma=1209272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Mailblast. (2026). </w:t>
      </w:r>
      <w:r>
        <w:rPr>
          <w:rFonts w:ascii="Arial" w:hAnsi="Arial" w:cs="Arial" w:eastAsia="Arial"/>
          <w:i/>
          <w:iCs/>
          <w:sz w:val="22"/>
          <w:szCs w:val="22"/>
        </w:rPr>
        <w:t>Amazon SES pricing 2026: $0.10/1,000 emails plus 4 hidden costs</w:t>
      </w:r>
      <w:r>
        <w:rPr>
          <w:rFonts w:ascii="Arial" w:hAnsi="Arial" w:cs="Arial" w:eastAsia="Arial"/>
          <w:sz w:val="22"/>
          <w:szCs w:val="22"/>
        </w:rPr>
        <w:t>. https://www.mailblast.io/blog/ses/amazon-ses-pricing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Microsoft. (2026a). </w:t>
      </w:r>
      <w:r>
        <w:rPr>
          <w:rFonts w:ascii="Arial" w:hAnsi="Arial" w:cs="Arial" w:eastAsia="Arial"/>
          <w:i/>
          <w:iCs/>
          <w:sz w:val="22"/>
          <w:szCs w:val="22"/>
        </w:rPr>
        <w:t>Azure Retail Prices API: región Chile Central</w:t>
      </w:r>
      <w:r>
        <w:rPr>
          <w:rFonts w:ascii="Arial" w:hAnsi="Arial" w:cs="Arial" w:eastAsia="Arial"/>
          <w:sz w:val="22"/>
          <w:szCs w:val="22"/>
        </w:rPr>
        <w:t xml:space="preserve"> [Conjunto de datos]. Recuperado el 6 de octubre de 2026, de https://prices.azure.com/api/retail/prices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Microsoft. (2026b). </w:t>
      </w:r>
      <w:r>
        <w:rPr>
          <w:rFonts w:ascii="Arial" w:hAnsi="Arial" w:cs="Arial" w:eastAsia="Arial"/>
          <w:i/>
          <w:iCs/>
          <w:sz w:val="22"/>
          <w:szCs w:val="22"/>
        </w:rPr>
        <w:t>Azure support plans comparison</w:t>
      </w:r>
      <w:r>
        <w:rPr>
          <w:rFonts w:ascii="Arial" w:hAnsi="Arial" w:cs="Arial" w:eastAsia="Arial"/>
          <w:sz w:val="22"/>
          <w:szCs w:val="22"/>
        </w:rPr>
        <w:t>. Recuperado el 6 de octubre de 2026, de https://azure.microsoft.com/en-us/support/plans/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NIC Chile. (2026). </w:t>
      </w:r>
      <w:r>
        <w:rPr>
          <w:rFonts w:ascii="Arial" w:hAnsi="Arial" w:cs="Arial" w:eastAsia="Arial"/>
          <w:i/>
          <w:iCs/>
          <w:sz w:val="22"/>
          <w:szCs w:val="22"/>
        </w:rPr>
        <w:t>Tarifas vigentes para .CL</w:t>
      </w:r>
      <w:r>
        <w:rPr>
          <w:rFonts w:ascii="Arial" w:hAnsi="Arial" w:cs="Arial" w:eastAsia="Arial"/>
          <w:sz w:val="22"/>
          <w:szCs w:val="22"/>
        </w:rPr>
        <w:t>. Recuperado el 6 de octubre de 2026, de https://nic.cl/dominios/tarifas.html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Object Management Group [OMG]. (2017). </w:t>
      </w:r>
      <w:r>
        <w:rPr>
          <w:rFonts w:ascii="Arial" w:hAnsi="Arial" w:cs="Arial" w:eastAsia="Arial"/>
          <w:i/>
          <w:iCs/>
          <w:sz w:val="22"/>
          <w:szCs w:val="22"/>
        </w:rPr>
        <w:t>OMG Unified Modeling Language</w:t>
      </w:r>
      <w:r>
        <w:rPr>
          <w:rFonts w:ascii="Arial" w:hAnsi="Arial" w:cs="Arial" w:eastAsia="Arial"/>
          <w:sz w:val="22"/>
          <w:szCs w:val="22"/>
        </w:rPr>
        <w:t xml:space="preserve"> (versión 2.5.1). https://www.omg.org/spec/UML/2.5.1/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OWASP Foundation. (2021). </w:t>
      </w:r>
      <w:r>
        <w:rPr>
          <w:rFonts w:ascii="Arial" w:hAnsi="Arial" w:cs="Arial" w:eastAsia="Arial"/>
          <w:i/>
          <w:iCs/>
          <w:sz w:val="22"/>
          <w:szCs w:val="22"/>
        </w:rPr>
        <w:t>OWASP Top 10:2021</w:t>
      </w:r>
      <w:r>
        <w:rPr>
          <w:rFonts w:ascii="Arial" w:hAnsi="Arial" w:cs="Arial" w:eastAsia="Arial"/>
          <w:sz w:val="22"/>
          <w:szCs w:val="22"/>
        </w:rPr>
        <w:t>. https://owasp.org/Top10/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Pauta. (2026, 6 de octubre). </w:t>
      </w:r>
      <w:r>
        <w:rPr>
          <w:rFonts w:ascii="Arial" w:hAnsi="Arial" w:cs="Arial" w:eastAsia="Arial"/>
          <w:i/>
          <w:iCs/>
          <w:sz w:val="22"/>
          <w:szCs w:val="22"/>
        </w:rPr>
        <w:t>Valor UF hoy martes 6 de octubre: revisa su precio en Chile</w:t>
      </w:r>
      <w:r>
        <w:rPr>
          <w:rFonts w:ascii="Arial" w:hAnsi="Arial" w:cs="Arial" w:eastAsia="Arial"/>
          <w:sz w:val="22"/>
          <w:szCs w:val="22"/>
        </w:rPr>
        <w:t>. https://www.pauta.cl/dato-en-pauta/2026/10/06/valor-de-la-uf-hoy-martes-6-de-octubre-revisa-el-precio-de-la-unidad-de-fomento.html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PCI Security Standards Council. (2022). </w:t>
      </w:r>
      <w:r>
        <w:rPr>
          <w:rFonts w:ascii="Arial" w:hAnsi="Arial" w:cs="Arial" w:eastAsia="Arial"/>
          <w:i/>
          <w:iCs/>
          <w:sz w:val="22"/>
          <w:szCs w:val="22"/>
        </w:rPr>
        <w:t>Payment Card Industry Data Security Standard</w:t>
      </w:r>
      <w:r>
        <w:rPr>
          <w:rFonts w:ascii="Arial" w:hAnsi="Arial" w:cs="Arial" w:eastAsia="Arial"/>
          <w:sz w:val="22"/>
          <w:szCs w:val="22"/>
        </w:rPr>
        <w:t xml:space="preserve"> (versión 4.0). https://www.pcisecuritystandards.org/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PostgreSQL Global Development Group. (2026). </w:t>
      </w:r>
      <w:r>
        <w:rPr>
          <w:rFonts w:ascii="Arial" w:hAnsi="Arial" w:cs="Arial" w:eastAsia="Arial"/>
          <w:i/>
          <w:iCs/>
          <w:sz w:val="22"/>
          <w:szCs w:val="22"/>
        </w:rPr>
        <w:t>PostgreSQL documentation: Constraints</w:t>
      </w:r>
      <w:r>
        <w:rPr>
          <w:rFonts w:ascii="Arial" w:hAnsi="Arial" w:cs="Arial" w:eastAsia="Arial"/>
          <w:sz w:val="22"/>
          <w:szCs w:val="22"/>
        </w:rPr>
        <w:t>. https://www.postgresql.org/docs/current/ddl-constraints.html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Servicio de Impuestos Internos [SII]. (2026a). </w:t>
      </w:r>
      <w:r>
        <w:rPr>
          <w:rFonts w:ascii="Arial" w:hAnsi="Arial" w:cs="Arial" w:eastAsia="Arial"/>
          <w:i/>
          <w:iCs/>
          <w:sz w:val="22"/>
          <w:szCs w:val="22"/>
        </w:rPr>
        <w:t>Unidad Tributaria Mensual (UTM) 2026</w:t>
      </w:r>
      <w:r>
        <w:rPr>
          <w:rFonts w:ascii="Arial" w:hAnsi="Arial" w:cs="Arial" w:eastAsia="Arial"/>
          <w:sz w:val="22"/>
          <w:szCs w:val="22"/>
        </w:rPr>
        <w:t>. Recuperado el 6 de octubre de 2026, de https://www.sii.cl/valores_y_fechas/utm/utm2026.htm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Servicio de Impuestos Internos [SII]. (2026b). </w:t>
      </w:r>
      <w:r>
        <w:rPr>
          <w:rFonts w:ascii="Arial" w:hAnsi="Arial" w:cs="Arial" w:eastAsia="Arial"/>
          <w:i/>
          <w:iCs/>
          <w:sz w:val="22"/>
          <w:szCs w:val="22"/>
        </w:rPr>
        <w:t>Dólar observado 2026</w:t>
      </w:r>
      <w:r>
        <w:rPr>
          <w:rFonts w:ascii="Arial" w:hAnsi="Arial" w:cs="Arial" w:eastAsia="Arial"/>
          <w:sz w:val="22"/>
          <w:szCs w:val="22"/>
        </w:rPr>
        <w:t>. Recuperado el 6 de octubre de 2026, de https://www.sii.cl/valores_y_fechas/dolar/dolar2026.htm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Transbank. (2026). </w:t>
      </w:r>
      <w:r>
        <w:rPr>
          <w:rFonts w:ascii="Arial" w:hAnsi="Arial" w:cs="Arial" w:eastAsia="Arial"/>
          <w:i/>
          <w:iCs/>
          <w:sz w:val="22"/>
          <w:szCs w:val="22"/>
        </w:rPr>
        <w:t>¿Cuánto cobra Webpay por vender por internet?</w:t>
      </w:r>
      <w:r>
        <w:rPr>
          <w:rFonts w:ascii="Arial" w:hAnsi="Arial" w:cs="Arial" w:eastAsia="Arial"/>
          <w:sz w:val="22"/>
          <w:szCs w:val="22"/>
        </w:rPr>
        <w:t xml:space="preserve"> Centro de ayuda. Recuperado el 6 de octubre de 2026, de https://ayuda.transbank.cl/tarifas-vender-webpay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V2Networks. (2026). </w:t>
      </w:r>
      <w:r>
        <w:rPr>
          <w:rFonts w:ascii="Arial" w:hAnsi="Arial" w:cs="Arial" w:eastAsia="Arial"/>
          <w:i/>
          <w:iCs/>
          <w:sz w:val="22"/>
          <w:szCs w:val="22"/>
        </w:rPr>
        <w:t>VPS Chile, servidores rápidos con respaldo incluido</w:t>
      </w:r>
      <w:r>
        <w:rPr>
          <w:rFonts w:ascii="Arial" w:hAnsi="Arial" w:cs="Arial" w:eastAsia="Arial"/>
          <w:sz w:val="22"/>
          <w:szCs w:val="22"/>
        </w:rPr>
        <w:t>. Recuperado el 6 de octubre de 2026, de https://v2networks.cl/vps/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World Wide Web Consortium [W3C]. (2018). </w:t>
      </w:r>
      <w:r>
        <w:rPr>
          <w:rFonts w:ascii="Arial" w:hAnsi="Arial" w:cs="Arial" w:eastAsia="Arial"/>
          <w:i/>
          <w:iCs/>
          <w:sz w:val="22"/>
          <w:szCs w:val="22"/>
        </w:rPr>
        <w:t>Web Content Accessibility Guidelines (WCAG) 2.1</w:t>
      </w:r>
      <w:r>
        <w:rPr>
          <w:rFonts w:ascii="Arial" w:hAnsi="Arial" w:cs="Arial" w:eastAsia="Arial"/>
          <w:sz w:val="22"/>
          <w:szCs w:val="22"/>
        </w:rPr>
        <w:t>. https://www.w3.org/TR/WCAG21/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>Inventario y Resumen de Cambios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2026-08-27T15:54:55.185Z</dcterms:created>
  <dcterms:modified xsi:type="dcterms:W3CDTF">2026-08-27T15:54:55.185Z</dcterms:modified>
  <dc:title>00_Inventario_y_Resumen_de_Cambios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