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6803E4C4" w14:textId="77777777" w:rsidR="003A56F9" w:rsidRDefault="00000000">
      <w:pPr>
        <w:spacing w:before="400" w:after="400"/>
        <w:jc w:val="center"/>
      </w:pPr>
      <w:r>
        <w:rPr>
          <w:b/>
          <w:bCs/>
          <w:color w:val="1F3864"/>
          <w:sz w:val="32"/>
          <w:szCs w:val="32"/>
        </w:rPr>
        <w:t>DUOC UC</w:t>
      </w:r>
    </w:p>
    <w:p w14:paraId="69C650E8" w14:textId="77777777" w:rsidR="003A56F9" w:rsidRDefault="00000000">
      <w:pPr>
        <w:spacing w:after="600"/>
        <w:jc w:val="center"/>
      </w:pPr>
      <w:r>
        <w:rPr>
          <w:sz w:val="22"/>
          <w:szCs w:val="22"/>
        </w:rPr>
        <w:t>Escuela de Informática y Telecomunicaciones</w:t>
      </w:r>
    </w:p>
    <w:p w14:paraId="781AD5AE" w14:textId="77777777" w:rsidR="003A56F9" w:rsidRDefault="00000000">
      <w:pPr>
        <w:spacing w:before="800" w:after="200"/>
        <w:jc w:val="center"/>
      </w:pPr>
      <w:r>
        <w:rPr>
          <w:b/>
          <w:bCs/>
          <w:color w:val="1F3864"/>
          <w:sz w:val="32"/>
          <w:szCs w:val="32"/>
        </w:rPr>
        <w:t>Plan de Gestión de los Interesados</w:t>
      </w:r>
    </w:p>
    <w:p w14:paraId="402B79DA" w14:textId="77777777" w:rsidR="008C0EC9" w:rsidRDefault="00000000">
      <w:pPr>
        <w:spacing w:after="800"/>
        <w:jc w:val="center"/>
        <w:rPr>
          <w:b/>
          <w:bCs/>
        </w:rPr>
      </w:pPr>
      <w:r>
        <w:rPr>
          <w:b/>
          <w:bCs/>
        </w:rPr>
        <w:t>Proyecto Barbería Big-Boys</w:t>
      </w:r>
    </w:p>
    <w:p w14:paraId="7FFFE397" w14:textId="77777777" w:rsidR="008C0EC9" w:rsidRDefault="00000000">
      <w:pPr>
        <w:spacing w:after="800"/>
        <w:jc w:val="center"/>
        <w:rPr>
          <w:b/>
          <w:bCs/>
        </w:rPr>
      </w:pPr>
      <w:r>
        <w:rPr>
          <w:b/>
          <w:bCs/>
        </w:rPr>
        <w:t>—</w:t>
      </w:r>
    </w:p>
    <w:p w14:paraId="388468A6" w14:textId="5EEE88B8" w:rsidR="003A56F9" w:rsidRDefault="00000000">
      <w:pPr>
        <w:spacing w:after="800"/>
        <w:jc w:val="center"/>
      </w:pPr>
      <w:r>
        <w:rPr>
          <w:b/>
          <w:bCs/>
        </w:rPr>
        <w:t>Sistema de agendamiento y gestión (web + app móvil)</w:t>
      </w:r>
      <w:proofErr w:type="gramStart"/>
      <w:r>
        <w:rPr>
          <w:b/>
          <w:bCs/>
        </w:rPr>
      </w:r>
      <w:proofErr w:type="gramEnd"/>
      <w:r>
        <w:rPr>
          <w:b/>
          <w:bCs/>
        </w:rPr>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Asignatura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PTY4614 — Capstone</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Sección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CAPSTONE_011V</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Docente</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Fernando Herrera</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Integrantes</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Yerko Rosales (Jefe de Proyecto, Analista y Diseño UX/UI) · Jonathan Ojeda (Desarrollo Backend y Base de Datos)</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Fecha de entrega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18 de octubre de 2026 (entrega Fase 2)</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Versión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1.0</w:t>
            </w:r>
          </w:p>
        </w:tc>
      </w:tr>
    </w:tbl>
    <w:p>
      <w:pPr>
        <w:pStyle w:val="Heading1"/>
        <w:keepNext/>
        <w:spacing w:before="360" w:after="160"/>
      </w:pPr>
      <w:r>
        <w:rPr>
          <w:rFonts w:ascii="Arial" w:hAnsi="Arial" w:cs="Arial" w:eastAsia="Arial"/>
          <w:b/>
          <w:bCs/>
          <w:color w:val="1F3864"/>
          <w:sz w:val="28"/>
          <w:szCs w:val="28"/>
        </w:rPr>
        <w:t>1. Introducción</w:t>
      </w:r>
    </w:p>
    <w:p>
      <w:pPr>
        <w:spacing w:before="0" w:after="120" w:line="276" w:lineRule="auto"/>
        <w:jc w:val="both"/>
      </w:pPr>
      <w:r>
        <w:rPr>
          <w:rFonts w:ascii="Arial" w:hAnsi="Arial" w:cs="Arial" w:eastAsia="Arial"/>
          <w:sz w:val="22"/>
          <w:szCs w:val="22"/>
        </w:rPr>
        <w:t>El presente Plan de Gestión de los Interesados identifica a las personas, grupos y organizaciones que pueden afectar o verse afectados por el Proyecto Barbería Big-Boys, y define las estrategias para lograr su compromiso durante todo el ciclo de vida del proyecto (14 de agosto al 13 de noviembre de 2026, con defensa probable el 27 de noviembre de 2026). Dado que el sistema se pondrá en uso real en las tres sucursales de Barbería Big-Boys una vez aprobado, el plan considera tanto a los interesados académicos como a los del negocio y del entorno regulatorio.</w:t>
      </w:r>
    </w:p>
    <w:p>
      <w:pPr>
        <w:spacing w:before="0" w:after="120" w:line="276" w:lineRule="auto"/>
        <w:jc w:val="both"/>
      </w:pPr>
      <w:r>
        <w:rPr>
          <w:rFonts w:ascii="Arial" w:hAnsi="Arial" w:cs="Arial" w:eastAsia="Arial"/>
          <w:sz w:val="22"/>
          <w:szCs w:val="22"/>
        </w:rPr>
        <w:t xml:space="preserve">Como novedad respecto de la versión inicial, se incorpora a la </w:t>
      </w:r>
      <w:r>
        <w:rPr>
          <w:rFonts w:ascii="Arial" w:hAnsi="Arial" w:cs="Arial" w:eastAsia="Arial"/>
          <w:b/>
          <w:bCs/>
          <w:sz w:val="22"/>
          <w:szCs w:val="22"/>
        </w:rPr>
        <w:t>Agencia de Protección de Datos Personales</w:t>
      </w:r>
      <w:r>
        <w:rPr>
          <w:rFonts w:ascii="Arial" w:hAnsi="Arial" w:cs="Arial" w:eastAsia="Arial"/>
          <w:sz w:val="22"/>
          <w:szCs w:val="22"/>
        </w:rPr>
        <w:t xml:space="preserve"> como interesado externo, porque el producto implementa de forma anticipada la Ley N° 21.719 (Ley N° 21.719, 2024), vigente desde el 1 de diciembre de 2026.</w:t>
      </w:r>
    </w:p>
    <w:p>
      <w:pPr>
        <w:pStyle w:val="Heading1"/>
        <w:keepNext/>
        <w:spacing w:before="360" w:after="160"/>
      </w:pPr>
      <w:r>
        <w:rPr>
          <w:rFonts w:ascii="Arial" w:hAnsi="Arial" w:cs="Arial" w:eastAsia="Arial"/>
          <w:b/>
          <w:bCs/>
          <w:color w:val="1F3864"/>
          <w:sz w:val="28"/>
          <w:szCs w:val="28"/>
        </w:rPr>
        <w:t>2. Identificación de Interesados</w:t>
      </w:r>
    </w:p>
    <w:p>
      <w:pPr>
        <w:keepNext/>
        <w:spacing w:before="160" w:after="0"/>
      </w:pPr>
      <w:r>
        <w:rPr>
          <w:rFonts w:ascii="Arial" w:hAnsi="Arial" w:cs="Arial" w:eastAsia="Arial"/>
          <w:b/>
          <w:bCs/>
          <w:sz w:val="21"/>
          <w:szCs w:val="21"/>
        </w:rPr>
        <w:t>Tabla 1</w:t>
      </w:r>
    </w:p>
    <w:p>
      <w:pPr>
        <w:keepNext/>
        <w:spacing w:before="0" w:after="80"/>
      </w:pPr>
      <w:r>
        <w:rPr>
          <w:rFonts w:ascii="Arial" w:hAnsi="Arial" w:cs="Arial" w:eastAsia="Arial"/>
          <w:i/>
          <w:iCs/>
          <w:sz w:val="21"/>
          <w:szCs w:val="21"/>
        </w:rPr>
        <w:t>Registro de interesados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230"/>
        <w:gridCol w:w="3230"/>
        <w:gridCol w:w="950"/>
        <w:gridCol w:w="1045"/>
        <w:gridCol w:w="1045"/>
      </w:tblGrid>
      <w:tr>
        <w:trPr>
          <w:tblHeader/>
        </w:trPr>
        <w:tc>
          <w:tcPr>
            <w:tcW w:w="32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 / Grupo</w:t>
            </w:r>
          </w:p>
        </w:tc>
        <w:tc>
          <w:tcPr>
            <w:tcW w:w="32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Rol</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Interés</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Influencia</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Poder</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Dueño/a de Barbería Big-Boys [nombre por validar]</w:t>
            </w:r>
          </w:p>
        </w:tc>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Patrocinador y cliente; responsable de los datos personales</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Alta</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Administradores de sucursal (SUC-01 Peñaflor – 21 de Mayo, SUC-02 Peñaflor – Alcalde Luis Araya Cereceda, SUC-03 Talagante)</w:t>
            </w:r>
          </w:p>
        </w:tc>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Usuarios internos clave</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Barberos / colaboradores de las 3 sucursales</w:t>
            </w:r>
          </w:p>
        </w:tc>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Usuarios internos (agenda y registro de atenciones)</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Media</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Bajo</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Clientes registrados</w:t>
            </w:r>
          </w:p>
        </w:tc>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Usuarios finales y titulares de datos</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Bajo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Clientes invitados y por orden de llegada</w:t>
            </w:r>
          </w:p>
        </w:tc>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Usuarios finales ocasionales</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Baja</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Bajo</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Yerko Rosales</w:t>
            </w:r>
          </w:p>
        </w:tc>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Jefe de Proyecto, Analista y Diseño UX/UI</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Jonathan Ojeda</w:t>
            </w:r>
          </w:p>
        </w:tc>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Desarrollo Backend y Base de Datos</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Alta</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Fernando Herrera</w:t>
            </w:r>
          </w:p>
        </w:tc>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Docente evaluador Capstone</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Comisión de defensa (27-11-2026)</w:t>
            </w:r>
          </w:p>
        </w:tc>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Evaluador académico final</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Alta</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Agencia de Protección de Datos Personales</w:t>
            </w:r>
          </w:p>
        </w:tc>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Regulador externo (fiscalización y sanciones, Ley N° 21.719)</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Transbank (Webpay Plus) / Mercado Pago</w:t>
            </w:r>
          </w:p>
        </w:tc>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Proveedor de pago y encargado de tratamiento</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Media</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Proveedor de hosting/cloud y de correo transaccional</w:t>
            </w:r>
          </w:p>
        </w:tc>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Encargados de tratamiento</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Bajo</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r>
    </w:tbl>
    <w:p>
      <w:pPr>
        <w:spacing w:before="0" w:after="60"/>
      </w:pPr>
    </w:p>
    <w:p>
      <w:pPr>
        <w:pBdr>
          <w:left w:val="single" w:sz="18" w:space="6" w:color="C9A227"/>
        </w:pBdr>
        <w:shd w:val="clear" w:color="auto" w:fill="FFF4D6"/>
        <w:spacing w:before="80" w:after="140" w:line="264" w:lineRule="auto"/>
        <w:ind w:left="120" w:right="120"/>
      </w:pPr>
      <w:r>
        <w:rPr>
          <w:rFonts w:ascii="Arial" w:hAnsi="Arial" w:cs="Arial" w:eastAsia="Arial"/>
          <w:b/>
          <w:bCs/>
          <w:sz w:val="21"/>
          <w:szCs w:val="21"/>
        </w:rPr>
        <w:t xml:space="preserve">SUPUESTO — por validar: </w:t>
      </w:r>
      <w:r>
        <w:rPr>
          <w:rFonts w:ascii="Arial" w:hAnsi="Arial" w:cs="Arial" w:eastAsia="Arial"/>
          <w:sz w:val="21"/>
          <w:szCs w:val="21"/>
        </w:rPr>
        <w:t>El Acta de Constitución registraba el patrocinador como «pendiente de definir». Se asume que el patrocinador es el/la dueño/a de la barbería. Debe confirmarse su nombre para las firmas de aprobación.</w:t>
      </w:r>
    </w:p>
    <w:p>
      <w:pPr>
        <w:pStyle w:val="Heading1"/>
        <w:keepNext/>
        <w:spacing w:before="360" w:after="160"/>
      </w:pPr>
      <w:r>
        <w:rPr>
          <w:rFonts w:ascii="Arial" w:hAnsi="Arial" w:cs="Arial" w:eastAsia="Arial"/>
          <w:b/>
          <w:bCs/>
          <w:color w:val="1F3864"/>
          <w:sz w:val="28"/>
          <w:szCs w:val="28"/>
        </w:rPr>
        <w:t>3. Matriz de Poder / Interés</w:t>
      </w:r>
    </w:p>
    <w:p>
      <w:pPr>
        <w:spacing w:before="0" w:after="120" w:line="276" w:lineRule="auto"/>
        <w:jc w:val="both"/>
      </w:pPr>
      <w:r>
        <w:rPr>
          <w:rFonts w:ascii="Arial" w:hAnsi="Arial" w:cs="Arial" w:eastAsia="Arial"/>
          <w:sz w:val="22"/>
          <w:szCs w:val="22"/>
        </w:rPr>
        <w:t>Cada interesado se ubica en uno de los cuatro cuadrantes según su poder sobre el proyecto y su interés en el resultado:</w:t>
      </w:r>
    </w:p>
    <w:p>
      <w:pPr>
        <w:keepNext/>
        <w:spacing w:before="160" w:after="0"/>
      </w:pPr>
      <w:r>
        <w:rPr>
          <w:rFonts w:ascii="Arial" w:hAnsi="Arial" w:cs="Arial" w:eastAsia="Arial"/>
          <w:b/>
          <w:bCs/>
          <w:sz w:val="21"/>
          <w:szCs w:val="21"/>
        </w:rPr>
        <w:t>Tabla 2</w:t>
      </w:r>
    </w:p>
    <w:p>
      <w:pPr>
        <w:keepNext/>
        <w:spacing w:before="0" w:after="80"/>
      </w:pPr>
      <w:r>
        <w:rPr>
          <w:rFonts w:ascii="Arial" w:hAnsi="Arial" w:cs="Arial" w:eastAsia="Arial"/>
          <w:i/>
          <w:iCs/>
          <w:sz w:val="21"/>
          <w:szCs w:val="21"/>
        </w:rPr>
        <w:t>Matriz de Poder / Interés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660"/>
        <w:gridCol w:w="3040"/>
        <w:gridCol w:w="3800"/>
      </w:tblGrid>
      <w:tr>
        <w:trPr>
          <w:tblHeader/>
        </w:trPr>
        <w:tc>
          <w:tcPr>
            <w:tcW w:w="26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Cuadrante</w:t>
            </w:r>
          </w:p>
        </w:tc>
        <w:tc>
          <w:tcPr>
            <w:tcW w:w="30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Interesados</w:t>
            </w:r>
          </w:p>
        </w:tc>
        <w:tc>
          <w:tcPr>
            <w:tcW w:w="38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Estrategia general</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de cerca (alto poder / alto interés)</w:t>
            </w:r>
          </w:p>
        </w:tc>
        <w:tc>
          <w:tcPr>
            <w:tcW w:w="30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Dueño/a, docente evaluador, Jefe de Proyecto</w:t>
            </w:r>
          </w:p>
        </w:tc>
        <w:tc>
          <w:tcPr>
            <w:tcW w:w="38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Involucrar en decisiones de alcance, validar entregables y supuestos; reuniones semanales.</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Mantener satisfecho (alto poder / bajo-medio interés)</w:t>
            </w:r>
          </w:p>
        </w:tc>
        <w:tc>
          <w:tcPr>
            <w:tcW w:w="30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Agencia de Protección de Datos Personales, comisión de defensa</w:t>
            </w:r>
          </w:p>
        </w:tc>
        <w:tc>
          <w:tcPr>
            <w:tcW w:w="38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Demostrar cumplimiento anticipado de la Ley N° 21.719 con evidencias (RAT, políticas, módulo «Mis datos»).</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Mantener informado (bajo poder / alto interés)</w:t>
            </w:r>
          </w:p>
        </w:tc>
        <w:tc>
          <w:tcPr>
            <w:tcW w:w="30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Administradores de sucursal, barberos, clientes registrados</w:t>
            </w:r>
          </w:p>
        </w:tc>
        <w:tc>
          <w:tcPr>
            <w:tcW w:w="38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Capacitación, demostraciones, comunicación de cambios y canal de sugerencias.</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Monitorear (bajo poder / bajo interés)</w:t>
            </w:r>
          </w:p>
        </w:tc>
        <w:tc>
          <w:tcPr>
            <w:tcW w:w="30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Clientes invitados, proveedores de hosting y correo</w:t>
            </w:r>
          </w:p>
        </w:tc>
        <w:tc>
          <w:tcPr>
            <w:tcW w:w="38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Seguimiento de contratos, acuerdos de encargo de tratamiento y niveles de servicio.</w:t>
            </w:r>
          </w:p>
        </w:tc>
      </w:tr>
    </w:tbl>
    <w:p>
      <w:pPr>
        <w:spacing w:before="0" w:after="60"/>
      </w:pPr>
    </w:p>
    <w:p>
      <w:pPr>
        <w:pStyle w:val="Heading1"/>
        <w:keepNext/>
        <w:spacing w:before="360" w:after="160"/>
      </w:pPr>
      <w:r>
        <w:rPr>
          <w:rFonts w:ascii="Arial" w:hAnsi="Arial" w:cs="Arial" w:eastAsia="Arial"/>
          <w:b/>
          <w:bCs/>
          <w:color w:val="1F3864"/>
          <w:sz w:val="28"/>
          <w:szCs w:val="28"/>
        </w:rPr>
        <w:t>4. Estrategias de Gestión por Interesado</w:t>
      </w:r>
    </w:p>
    <w:p>
      <w:pPr>
        <w:keepNext/>
        <w:spacing w:before="160" w:after="0"/>
      </w:pPr>
      <w:r>
        <w:rPr>
          <w:rFonts w:ascii="Arial" w:hAnsi="Arial" w:cs="Arial" w:eastAsia="Arial"/>
          <w:b/>
          <w:bCs/>
          <w:sz w:val="21"/>
          <w:szCs w:val="21"/>
        </w:rPr>
        <w:t>Tabla 3</w:t>
      </w:r>
    </w:p>
    <w:p>
      <w:pPr>
        <w:keepNext/>
        <w:spacing w:before="0" w:after="80"/>
      </w:pPr>
      <w:r>
        <w:rPr>
          <w:rFonts w:ascii="Arial" w:hAnsi="Arial" w:cs="Arial" w:eastAsia="Arial"/>
          <w:i/>
          <w:iCs/>
          <w:sz w:val="21"/>
          <w:szCs w:val="21"/>
        </w:rPr>
        <w:t>Estrategias de Gestión por Interesado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5320"/>
        <w:gridCol w:w="2090"/>
      </w:tblGrid>
      <w:tr>
        <w:trPr>
          <w:tblHeader/>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Interesado</w:t>
            </w:r>
          </w:p>
        </w:tc>
        <w:tc>
          <w:tcPr>
            <w:tcW w:w="53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Estrategia de gestión / compromiso</w:t>
            </w:r>
          </w:p>
        </w:tc>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Frecuencia de comunicación</w:t>
            </w:r>
          </w:p>
        </w:tc>
      </w:tr>
      <w:tr>
        <w:trPr>
          <w:cantSplit/>
        </w:trPr>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Dueño/a</w:t>
            </w:r>
          </w:p>
        </w:tc>
        <w:tc>
          <w:tcPr>
            <w:tcW w:w="53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Validar KPIs, supuestos de demanda, reglas de abono ($3.000, 24 h, 2 reagendamientos) y aprobar alcance; designar responsable de cumplimiento.</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Semanal (viernes) y en cada hito</w:t>
            </w:r>
          </w:p>
        </w:tc>
      </w:tr>
      <w:tr>
        <w:trPr>
          <w:cantSplit/>
        </w:trPr>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Administradores de sucursal</w:t>
            </w:r>
          </w:p>
        </w:tc>
        <w:tc>
          <w:tcPr>
            <w:tcW w:w="53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Talleres de uso de la fila por orden de llegada, agenda y registro de atenciones; recoger retroalimentación.</w:t>
            </w:r>
          </w:p>
        </w:tc>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Quincenal; diaria durante la marcha blanca</w:t>
            </w:r>
          </w:p>
        </w:tc>
      </w:tr>
      <w:tr>
        <w:trPr>
          <w:cantSplit/>
        </w:trPr>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Barberos</w:t>
            </w:r>
          </w:p>
        </w:tc>
        <w:tc>
          <w:tcPr>
            <w:tcW w:w="53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Capacitación breve (30 min) y guía rápida; involucrar en pruebas de aceptación.</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Antes de la marcha blanca y en UAT</w:t>
            </w:r>
          </w:p>
        </w:tc>
      </w:tr>
      <w:tr>
        <w:trPr>
          <w:cantSplit/>
        </w:trPr>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Clientes</w:t>
            </w:r>
          </w:p>
        </w:tc>
        <w:tc>
          <w:tcPr>
            <w:tcW w:w="53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Comunicar beneficios (reserva asegurada, sin esperas) y derechos sobre sus datos en lenguaje claro.</w:t>
            </w:r>
          </w:p>
        </w:tc>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 lanzamiento y mediante notificaciones de servicio</w:t>
            </w:r>
          </w:p>
        </w:tc>
      </w:tr>
      <w:tr>
        <w:trPr>
          <w:cantSplit/>
        </w:trPr>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Docente evaluador</w:t>
            </w:r>
          </w:p>
        </w:tc>
        <w:tc>
          <w:tcPr>
            <w:tcW w:w="53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Entregar avances por fase y evidencias (repositorio, diagramas, documentos).</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Semanal (taller de proyectos)</w:t>
            </w:r>
          </w:p>
        </w:tc>
      </w:tr>
      <w:tr>
        <w:trPr>
          <w:cantSplit/>
        </w:trPr>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Agencia de Protección de Datos</w:t>
            </w:r>
          </w:p>
        </w:tc>
        <w:tc>
          <w:tcPr>
            <w:tcW w:w="53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Mantener RAT, políticas publicadas, procedimiento de brechas y canal de derechos operativos.</w:t>
            </w:r>
          </w:p>
        </w:tc>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Ante requerimientos o incidentes</w:t>
            </w:r>
          </w:p>
        </w:tc>
      </w:tr>
      <w:tr>
        <w:trPr>
          <w:cantSplit/>
        </w:trPr>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Proveedores (pasarela, hosting, correo)</w:t>
            </w:r>
          </w:p>
        </w:tc>
        <w:tc>
          <w:tcPr>
            <w:tcW w:w="53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Contrato con cláusulas de encargo de tratamiento, confidencialidad y ubicación de datos.</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 contratar y anualmente</w:t>
            </w:r>
          </w:p>
        </w:tc>
      </w:tr>
    </w:tbl>
    <w:p>
      <w:pPr>
        <w:spacing w:before="0" w:after="60"/>
      </w:pPr>
    </w:p>
    <w:p>
      <w:pPr>
        <w:pStyle w:val="Heading1"/>
        <w:keepNext/>
        <w:spacing w:before="360" w:after="160"/>
      </w:pPr>
      <w:r>
        <w:rPr>
          <w:rFonts w:ascii="Arial" w:hAnsi="Arial" w:cs="Arial" w:eastAsia="Arial"/>
          <w:b/>
          <w:bCs/>
          <w:color w:val="1F3864"/>
          <w:sz w:val="28"/>
          <w:szCs w:val="28"/>
        </w:rPr>
        <w:t>5. Nivel de Compromiso Actual vs. Deseado</w:t>
      </w:r>
    </w:p>
    <w:p>
      <w:pPr>
        <w:spacing w:before="0" w:after="120" w:line="276" w:lineRule="auto"/>
        <w:jc w:val="both"/>
      </w:pPr>
      <w:r>
        <w:rPr>
          <w:rFonts w:ascii="Arial" w:hAnsi="Arial" w:cs="Arial" w:eastAsia="Arial"/>
          <w:i/>
          <w:iCs/>
          <w:sz w:val="20"/>
          <w:szCs w:val="20"/>
        </w:rPr>
        <w:t>C = Desconocedor, R = Reticente, N = Neutral, A = Partidario, L = Líder. X = posición actual; D = posición deseada.</w:t>
      </w:r>
    </w:p>
    <w:p>
      <w:pPr>
        <w:keepNext/>
        <w:spacing w:before="160" w:after="0"/>
      </w:pPr>
      <w:r>
        <w:rPr>
          <w:rFonts w:ascii="Arial" w:hAnsi="Arial" w:cs="Arial" w:eastAsia="Arial"/>
          <w:b/>
          <w:bCs/>
          <w:sz w:val="21"/>
          <w:szCs w:val="21"/>
        </w:rPr>
        <w:t>Tabla 4</w:t>
      </w:r>
    </w:p>
    <w:p>
      <w:pPr>
        <w:keepNext/>
        <w:spacing w:before="0" w:after="80"/>
      </w:pPr>
      <w:r>
        <w:rPr>
          <w:rFonts w:ascii="Arial" w:hAnsi="Arial" w:cs="Arial" w:eastAsia="Arial"/>
          <w:i/>
          <w:iCs/>
          <w:sz w:val="21"/>
          <w:szCs w:val="21"/>
        </w:rPr>
        <w:t>Nivel de Compromiso Actual vs. Deseado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850"/>
        <w:gridCol w:w="1330"/>
        <w:gridCol w:w="1330"/>
        <w:gridCol w:w="1330"/>
        <w:gridCol w:w="1330"/>
        <w:gridCol w:w="1330"/>
      </w:tblGrid>
      <w:tr>
        <w:trPr>
          <w:tblHeader/>
        </w:trPr>
        <w:tc>
          <w:tcPr>
            <w:tcW w:w="28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Interesado</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Desconocedor</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Reticente</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Neutral</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Partidario</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Líder</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Dueño/a</w:t>
            </w: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X</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Administradores de sucursal</w:t>
            </w:r>
          </w:p>
        </w:tc>
        <w:tc>
          <w:tcPr>
            <w:tcW w:w="1330" w:type="dxa"/>
            <w:shd w:val="clear" w:color="auto" w:fill="F2F5FA"/>
            <w:tcMar>
              <w:top w:w="80" w:type="dxa"/>
              <w:left w:w="100" w:type="dxa"/>
              <w:bottom w:w="80" w:type="dxa"/>
              <w:right w:w="100" w:type="dxa"/>
            </w:tcMar>
            <w:vAlign w:val="center"/>
          </w:tcPr>
          <w:p>
            <w:pPr>
              <w:spacing w:before="0" w:after="0" w:line="240" w:lineRule="auto"/>
            </w:pPr>
          </w:p>
        </w:tc>
        <w:tc>
          <w:tcPr>
            <w:tcW w:w="1330" w:type="dxa"/>
            <w:shd w:val="clear" w:color="auto" w:fill="F2F5FA"/>
            <w:tcMar>
              <w:top w:w="80" w:type="dxa"/>
              <w:left w:w="100" w:type="dxa"/>
              <w:bottom w:w="80" w:type="dxa"/>
              <w:right w:w="100" w:type="dxa"/>
            </w:tcMar>
            <w:vAlign w:val="center"/>
          </w:tcPr>
          <w:p>
            <w:pPr>
              <w:spacing w:before="0" w:after="0" w:line="240" w:lineRule="auto"/>
            </w:pP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X</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w:t>
            </w:r>
          </w:p>
        </w:tc>
        <w:tc>
          <w:tcPr>
            <w:tcW w:w="1330" w:type="dxa"/>
            <w:shd w:val="clear" w:color="auto" w:fill="F2F5FA"/>
            <w:tcMar>
              <w:top w:w="80" w:type="dxa"/>
              <w:left w:w="100" w:type="dxa"/>
              <w:bottom w:w="80" w:type="dxa"/>
              <w:right w:w="100" w:type="dxa"/>
            </w:tcMar>
            <w:vAlign w:val="center"/>
          </w:tcPr>
          <w:p>
            <w:pPr>
              <w:spacing w:before="0" w:after="0" w:line="240" w:lineRule="auto"/>
            </w:pP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Barberos</w:t>
            </w: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X</w:t>
            </w: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w:t>
            </w:r>
          </w:p>
        </w:tc>
        <w:tc>
          <w:tcPr>
            <w:tcW w:w="1330" w:type="dxa"/>
            <w:tcMar>
              <w:top w:w="80" w:type="dxa"/>
              <w:left w:w="100" w:type="dxa"/>
              <w:bottom w:w="80" w:type="dxa"/>
              <w:right w:w="100" w:type="dxa"/>
            </w:tcMar>
            <w:vAlign w:val="center"/>
          </w:tcPr>
          <w:p>
            <w:pPr>
              <w:spacing w:before="0" w:after="0" w:line="240" w:lineRule="auto"/>
            </w:pP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X</w:t>
            </w:r>
          </w:p>
        </w:tc>
        <w:tc>
          <w:tcPr>
            <w:tcW w:w="1330" w:type="dxa"/>
            <w:shd w:val="clear" w:color="auto" w:fill="F2F5FA"/>
            <w:tcMar>
              <w:top w:w="80" w:type="dxa"/>
              <w:left w:w="100" w:type="dxa"/>
              <w:bottom w:w="80" w:type="dxa"/>
              <w:right w:w="100" w:type="dxa"/>
            </w:tcMar>
            <w:vAlign w:val="center"/>
          </w:tcPr>
          <w:p>
            <w:pPr>
              <w:spacing w:before="0" w:after="0" w:line="240" w:lineRule="auto"/>
            </w:pPr>
          </w:p>
        </w:tc>
        <w:tc>
          <w:tcPr>
            <w:tcW w:w="1330" w:type="dxa"/>
            <w:shd w:val="clear" w:color="auto" w:fill="F2F5FA"/>
            <w:tcMar>
              <w:top w:w="80" w:type="dxa"/>
              <w:left w:w="100" w:type="dxa"/>
              <w:bottom w:w="80" w:type="dxa"/>
              <w:right w:w="100" w:type="dxa"/>
            </w:tcMar>
            <w:vAlign w:val="center"/>
          </w:tcPr>
          <w:p>
            <w:pPr>
              <w:spacing w:before="0" w:after="0" w:line="240" w:lineRule="auto"/>
            </w:pP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w:t>
            </w:r>
          </w:p>
        </w:tc>
        <w:tc>
          <w:tcPr>
            <w:tcW w:w="1330" w:type="dxa"/>
            <w:shd w:val="clear" w:color="auto" w:fill="F2F5FA"/>
            <w:tcMar>
              <w:top w:w="80" w:type="dxa"/>
              <w:left w:w="100" w:type="dxa"/>
              <w:bottom w:w="80" w:type="dxa"/>
              <w:right w:w="100" w:type="dxa"/>
            </w:tcMar>
            <w:vAlign w:val="center"/>
          </w:tcPr>
          <w:p>
            <w:pPr>
              <w:spacing w:before="0" w:after="0" w:line="240" w:lineRule="auto"/>
            </w:pP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Docente evaluador</w:t>
            </w: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X</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Agencia de Protección de Datos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X</w:t>
            </w:r>
          </w:p>
        </w:tc>
        <w:tc>
          <w:tcPr>
            <w:tcW w:w="1330" w:type="dxa"/>
            <w:shd w:val="clear" w:color="auto" w:fill="F2F5FA"/>
            <w:tcMar>
              <w:top w:w="80" w:type="dxa"/>
              <w:left w:w="100" w:type="dxa"/>
              <w:bottom w:w="80" w:type="dxa"/>
              <w:right w:w="100" w:type="dxa"/>
            </w:tcMar>
            <w:vAlign w:val="center"/>
          </w:tcPr>
          <w:p>
            <w:pPr>
              <w:spacing w:before="0" w:after="0" w:line="240" w:lineRule="auto"/>
            </w:pP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w:t>
            </w:r>
          </w:p>
        </w:tc>
        <w:tc>
          <w:tcPr>
            <w:tcW w:w="1330" w:type="dxa"/>
            <w:shd w:val="clear" w:color="auto" w:fill="F2F5FA"/>
            <w:tcMar>
              <w:top w:w="80" w:type="dxa"/>
              <w:left w:w="100" w:type="dxa"/>
              <w:bottom w:w="80" w:type="dxa"/>
              <w:right w:w="100" w:type="dxa"/>
            </w:tcMar>
            <w:vAlign w:val="center"/>
          </w:tcPr>
          <w:p>
            <w:pPr>
              <w:spacing w:before="0" w:after="0" w:line="240" w:lineRule="auto"/>
            </w:pPr>
          </w:p>
        </w:tc>
        <w:tc>
          <w:tcPr>
            <w:tcW w:w="1330" w:type="dxa"/>
            <w:shd w:val="clear" w:color="auto" w:fill="F2F5FA"/>
            <w:tcMar>
              <w:top w:w="80" w:type="dxa"/>
              <w:left w:w="100" w:type="dxa"/>
              <w:bottom w:w="80" w:type="dxa"/>
              <w:right w:w="100" w:type="dxa"/>
            </w:tcMar>
            <w:vAlign w:val="center"/>
          </w:tcPr>
          <w:p>
            <w:pPr>
              <w:spacing w:before="0" w:after="0" w:line="240" w:lineRule="auto"/>
            </w:pP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Proveedores</w:t>
            </w: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X</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w:t>
            </w:r>
          </w:p>
        </w:tc>
        <w:tc>
          <w:tcPr>
            <w:tcW w:w="1330" w:type="dxa"/>
            <w:tcMar>
              <w:top w:w="80" w:type="dxa"/>
              <w:left w:w="100" w:type="dxa"/>
              <w:bottom w:w="80" w:type="dxa"/>
              <w:right w:w="100" w:type="dxa"/>
            </w:tcMar>
            <w:vAlign w:val="center"/>
          </w:tcPr>
          <w:p>
            <w:pPr>
              <w:spacing w:before="0" w:after="0" w:line="240" w:lineRule="auto"/>
            </w:pPr>
          </w:p>
        </w:tc>
      </w:tr>
    </w:tbl>
    <w:p>
      <w:pPr>
        <w:spacing w:before="0" w:after="60"/>
      </w:pPr>
    </w:p>
    <w:p>
      <w:pPr>
        <w:pBdr>
          <w:left w:val="single" w:sz="18" w:space="6" w:color="C9A227"/>
        </w:pBdr>
        <w:shd w:val="clear" w:color="auto" w:fill="FFF4D6"/>
        <w:spacing w:before="80" w:after="140" w:line="264" w:lineRule="auto"/>
        <w:ind w:left="120" w:right="120"/>
      </w:pPr>
      <w:r>
        <w:rPr>
          <w:rFonts w:ascii="Arial" w:hAnsi="Arial" w:cs="Arial" w:eastAsia="Arial"/>
          <w:b/>
          <w:bCs/>
          <w:sz w:val="21"/>
          <w:szCs w:val="21"/>
        </w:rPr>
        <w:t xml:space="preserve">SUPUESTO — por validar: </w:t>
      </w:r>
      <w:r>
        <w:rPr>
          <w:rFonts w:ascii="Arial" w:hAnsi="Arial" w:cs="Arial" w:eastAsia="Arial"/>
          <w:sz w:val="21"/>
          <w:szCs w:val="21"/>
        </w:rPr>
        <w:t>Los niveles «actual» de barberos y clientes se infieren de la conversación del Kick-Off (resistencia al cambio de la planilla Excel y desconocimiento del sistema). Validar con el/la dueño/a.</w:t>
      </w:r>
    </w:p>
    <w:p>
      <w:pPr>
        <w:pStyle w:val="Heading1"/>
        <w:keepNext/>
        <w:spacing w:before="360" w:after="160"/>
      </w:pPr>
      <w:r>
        <w:rPr>
          <w:rFonts w:ascii="Arial" w:hAnsi="Arial" w:cs="Arial" w:eastAsia="Arial"/>
          <w:b/>
          <w:bCs/>
          <w:color w:val="1F3864"/>
          <w:sz w:val="28"/>
          <w:szCs w:val="28"/>
        </w:rPr>
        <w:t>6. Registro de Cambios de este Plan</w:t>
      </w:r>
    </w:p>
    <w:p>
      <w:pPr>
        <w:keepNext/>
        <w:spacing w:before="160" w:after="0"/>
      </w:pPr>
      <w:r>
        <w:rPr>
          <w:rFonts w:ascii="Arial" w:hAnsi="Arial" w:cs="Arial" w:eastAsia="Arial"/>
          <w:b/>
          <w:bCs/>
          <w:sz w:val="21"/>
          <w:szCs w:val="21"/>
        </w:rPr>
        <w:t>Tabla 5</w:t>
      </w:r>
    </w:p>
    <w:p>
      <w:pPr>
        <w:keepNext/>
        <w:spacing w:before="0" w:after="80"/>
      </w:pPr>
      <w:r>
        <w:rPr>
          <w:rFonts w:ascii="Arial" w:hAnsi="Arial" w:cs="Arial" w:eastAsia="Arial"/>
          <w:i/>
          <w:iCs/>
          <w:sz w:val="21"/>
          <w:szCs w:val="21"/>
        </w:rPr>
        <w:t>Registro de Cambios de este Plan</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140"/>
        <w:gridCol w:w="1710"/>
        <w:gridCol w:w="6650"/>
      </w:tblGrid>
      <w:tr>
        <w:trPr>
          <w:tblHeader/>
        </w:trPr>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Versión</w:t>
            </w:r>
          </w:p>
        </w:tc>
        <w:tc>
          <w:tcPr>
            <w:tcW w:w="171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Fecha</w:t>
            </w:r>
          </w:p>
        </w:tc>
        <w:tc>
          <w:tcPr>
            <w:tcW w:w="66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Descripción del cambio</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1.0</w:t>
            </w:r>
          </w:p>
        </w:tc>
        <w:tc>
          <w:tcPr>
            <w:tcW w:w="17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09-10-2026</w:t>
            </w:r>
          </w:p>
        </w:tc>
        <w:tc>
          <w:tcPr>
            <w:tcW w:w="66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Versión inicial completa del Proyecto Barbería Big-Boys: 3 sucursales, Agencia de Protección de Datos como interesado y estrategias de compromiso.</w:t>
            </w:r>
          </w:p>
        </w:tc>
      </w:tr>
    </w:tbl>
    <w:p>
      <w:pPr>
        <w:spacing w:before="0" w:after="60"/>
      </w:pPr>
    </w:p>
    <w:p>
      <w:pPr>
        <w:pStyle w:val="Heading1"/>
        <w:keepNext/>
        <w:pageBreakBefore/>
        <w:spacing w:before="360" w:after="160"/>
      </w:pPr>
      <w:r>
        <w:rPr>
          <w:rFonts w:ascii="Arial" w:hAnsi="Arial" w:cs="Arial" w:eastAsia="Arial"/>
          <w:b/>
          <w:bCs/>
          <w:color w:val="1F3864"/>
          <w:sz w:val="28"/>
          <w:szCs w:val="28"/>
        </w:rPr>
        <w:t>Referencias</w:t>
      </w:r>
    </w:p>
    <w:p>
      <w:pPr>
        <w:spacing w:before="0" w:after="120" w:line="360" w:lineRule="auto"/>
        <w:ind w:left="720" w:hanging="720"/>
      </w:pPr>
      <w:r>
        <w:rPr>
          <w:rFonts w:ascii="Arial" w:hAnsi="Arial" w:cs="Arial" w:eastAsia="Arial"/>
          <w:sz w:val="22"/>
          <w:szCs w:val="22"/>
        </w:rPr>
        <w:t xml:space="preserve">Ley N° 21.719. (2024, 13 de diciembre). </w:t>
      </w:r>
      <w:r>
        <w:rPr>
          <w:rFonts w:ascii="Arial" w:hAnsi="Arial" w:cs="Arial" w:eastAsia="Arial"/>
          <w:i/>
          <w:iCs/>
          <w:sz w:val="22"/>
          <w:szCs w:val="22"/>
        </w:rPr>
        <w:t>Regula la protección y el tratamiento de los datos personales y crea la Agencia de Protección de Datos Personales</w:t>
      </w:r>
      <w:r>
        <w:rPr>
          <w:rFonts w:ascii="Arial" w:hAnsi="Arial" w:cs="Arial" w:eastAsia="Arial"/>
          <w:sz w:val="22"/>
          <w:szCs w:val="22"/>
        </w:rPr>
        <w:t>. Diario Oficial de la República de Chile. https://www.bcn.cl/leychile/navegar?idNorma=1209272</w:t>
      </w:r>
    </w:p>
    <w:p>
      <w:pPr>
        <w:spacing w:before="0" w:after="120" w:line="360" w:lineRule="auto"/>
        <w:ind w:left="720" w:hanging="720"/>
      </w:pPr>
      <w:r>
        <w:rPr>
          <w:rFonts w:ascii="Arial" w:hAnsi="Arial" w:cs="Arial" w:eastAsia="Arial"/>
          <w:sz w:val="22"/>
          <w:szCs w:val="22"/>
        </w:rPr>
        <w:t xml:space="preserve">Project Management Institute [PMI]. (2021). </w:t>
      </w:r>
      <w:r>
        <w:rPr>
          <w:rFonts w:ascii="Arial" w:hAnsi="Arial" w:cs="Arial" w:eastAsia="Arial"/>
          <w:i/>
          <w:iCs/>
          <w:sz w:val="22"/>
          <w:szCs w:val="22"/>
        </w:rPr>
        <w:t>A guide to the project management body of knowledge (PMBOK® guide)</w:t>
      </w:r>
      <w:r>
        <w:rPr>
          <w:rFonts w:ascii="Arial" w:hAnsi="Arial" w:cs="Arial" w:eastAsia="Arial"/>
          <w:sz w:val="22"/>
          <w:szCs w:val="22"/>
        </w:rPr>
        <w:t xml:space="preserve"> (7.ª ed.). Project Management Institute.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Plan de Gestión de los Interesados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Rosales, Jonathan Ojeda</dc:creator>
  <cp:lastModifiedBy>Un-named</cp:lastModifiedBy>
  <cp:revision>1</cp:revision>
  <dcterms:created xsi:type="dcterms:W3CDTF">2026-08-27T15:54:55.185Z</dcterms:created>
  <dcterms:modified xsi:type="dcterms:W3CDTF">2026-08-27T15:54:55.185Z</dcterms:modified>
  <dc:title>02_Plan_Gestion_Interesados</dc:title>
</cp:coreProperties>
</file>

<file path=docProps/custom.xml><?xml version="1.0" encoding="utf-8"?>
<Properties xmlns="http://schemas.openxmlformats.org/officeDocument/2006/custom-properties" xmlns:vt="http://schemas.openxmlformats.org/officeDocument/2006/docPropsVTypes"/>
</file>