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w14:paraId="6803E4C4" w14:textId="77777777" w:rsidR="003A56F9" w:rsidRDefault="00000000">
      <w:pPr>
        <w:spacing w:before="400" w:after="400"/>
        <w:jc w:val="center"/>
      </w:pPr>
      <w:r>
        <w:rPr>
          <w:b/>
          <w:bCs/>
          <w:color w:val="1F3864"/>
          <w:sz w:val="32"/>
          <w:szCs w:val="32"/>
        </w:rPr>
        <w:t>DUOC UC</w:t>
      </w:r>
    </w:p>
    <w:p w14:paraId="69C650E8" w14:textId="77777777" w:rsidR="003A56F9" w:rsidRDefault="00000000">
      <w:pPr>
        <w:spacing w:after="600"/>
        <w:jc w:val="center"/>
      </w:pPr>
      <w:r>
        <w:rPr>
          <w:sz w:val="22"/>
          <w:szCs w:val="22"/>
        </w:rPr>
        <w:t>Escuela de Informática y Telecomunicaciones</w:t>
      </w:r>
    </w:p>
    <w:p w14:paraId="781AD5AE" w14:textId="77777777" w:rsidR="003A56F9" w:rsidRDefault="00000000">
      <w:pPr>
        <w:spacing w:before="800" w:after="200"/>
        <w:jc w:val="center"/>
      </w:pPr>
      <w:r>
        <w:rPr>
          <w:b/>
          <w:bCs/>
          <w:color w:val="1F3864"/>
          <w:sz w:val="32"/>
          <w:szCs w:val="32"/>
        </w:rPr>
        <w:t>Plan de Dirección del Proyecto</w:t>
      </w:r>
    </w:p>
    <w:p w14:paraId="402B79DA" w14:textId="77777777" w:rsidR="008C0EC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Proyecto Barbería Big-Boys</w:t>
      </w:r>
    </w:p>
    <w:p w14:paraId="7FFFE397" w14:textId="77777777" w:rsidR="008C0EC9" w:rsidRDefault="00000000">
      <w:pPr>
        <w:spacing w:after="800"/>
        <w:jc w:val="center"/>
        <w:rPr>
          <w:b/>
          <w:bCs/>
        </w:rPr>
      </w:pPr>
      <w:r>
        <w:rPr>
          <w:b/>
          <w:bCs/>
        </w:rPr>
        <w:t>—</w:t>
      </w:r>
    </w:p>
    <w:p w14:paraId="388468A6" w14:textId="5EEE88B8" w:rsidR="003A56F9" w:rsidRDefault="00000000">
      <w:pPr>
        <w:spacing w:after="800"/>
        <w:jc w:val="center"/>
      </w:pPr>
      <w:r>
        <w:rPr>
          <w:b/>
          <w:bCs/>
        </w:rPr>
        <w:t>Sistema de agendamiento y gestión (web + app móvil)</w:t>
      </w:r>
      <w:proofErr w:type="gramStart"/>
      <w:r>
        <w:rPr>
          <w:b/>
          <w:bCs/>
        </w:rPr>
      </w:r>
      <w:proofErr w:type="gramEnd"/>
      <w:r>
        <w:rPr>
          <w:b/>
          <w:bCs/>
        </w:rPr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 w:val="false"/>
                <w:color w:val="000000"/>
                <w:sz w:val="20"/>
                <w:szCs w:val="20"/>
              </w:rPr>
              <w:t>PTY4614 — Capstone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CAPSTONE_011V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Docente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Fernando Herrera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Integrantes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Yerko Rosales (Jefe de Proyecto, Analista y Diseño UX/UI) · Jonathan Ojeda (Desarrollo Backend y Base de Datos)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Fecha de entrega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/>
                <w:color w:val="000000"/>
                <w:sz w:val="20"/>
                <w:szCs w:val="20"/>
              </w:rPr>
              <w:t>18 de octubre de 2026 (entrega Fase 2)</w:t>
            </w:r>
          </w:p>
        </w:tc>
      </w:tr>
      <w:tr>
        <w:tc>
          <w:tcPr>
            <w:tcW w:type="dxa" w:w="2500"/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0"/>
                <w:iCs w:val="false"/>
                <w:color w:val="000000"/>
                <w:sz w:val="20"/>
                <w:szCs w:val="20"/>
              </w:rPr>
              <w:t>1.0</w:t>
            </w:r>
          </w:p>
        </w:tc>
      </w:tr>
    </w:tbl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1. Introducción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 xml:space="preserve">El Plan de Dirección del Proyecto integra los planes subsidiarios del Proyecto Barbería Big-Boys y define cómo se ejecutará, monitoreará, controlará y cerrará el proyecto. El producto —una plataforma web y una app móvil Android con una API y una base de datos relacional PostgreSQL— </w:t>
      </w:r>
      <w:r>
        <w:rPr>
          <w:rFonts w:ascii="Arial" w:hAnsi="Arial" w:cs="Arial" w:eastAsia="Arial"/>
          <w:b/>
          <w:bCs/>
          <w:sz w:val="22"/>
          <w:szCs w:val="22"/>
        </w:rPr>
        <w:t>complementa</w:t>
      </w:r>
      <w:r>
        <w:rPr>
          <w:rFonts w:ascii="Arial" w:hAnsi="Arial" w:cs="Arial" w:eastAsia="Arial"/>
          <w:sz w:val="22"/>
          <w:szCs w:val="22"/>
        </w:rPr>
        <w:t xml:space="preserve"> la atención por orden de llegada y </w:t>
      </w:r>
      <w:r>
        <w:rPr>
          <w:rFonts w:ascii="Arial" w:hAnsi="Arial" w:cs="Arial" w:eastAsia="Arial"/>
          <w:b/>
          <w:bCs/>
          <w:sz w:val="22"/>
          <w:szCs w:val="22"/>
        </w:rPr>
        <w:t>reemplaza por completo</w:t>
      </w:r>
      <w:r>
        <w:rPr>
          <w:rFonts w:ascii="Arial" w:hAnsi="Arial" w:cs="Arial" w:eastAsia="Arial"/>
          <w:sz w:val="22"/>
          <w:szCs w:val="22"/>
        </w:rPr>
        <w:t xml:space="preserve"> el registro manual en Excel en las tres sucursales de Barbería Big-Boys. Se diseña para operar en producción una vez aprobado el proyecto, cumpliendo desde su lanzamiento la Ley N° 19.628 y, de forma anticipada, la Ley N° 21.719 (Ley N° 19.628, 1999; Ley N° 21.719, 2024).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2. Ciclo de Vida y Enfoque de Desarrollo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 xml:space="preserve">Se utiliza un </w:t>
      </w:r>
      <w:r>
        <w:rPr>
          <w:rFonts w:ascii="Arial" w:hAnsi="Arial" w:cs="Arial" w:eastAsia="Arial"/>
          <w:b/>
          <w:bCs/>
          <w:sz w:val="22"/>
          <w:szCs w:val="22"/>
        </w:rPr>
        <w:t>enfoque híbrido</w:t>
      </w:r>
      <w:r>
        <w:rPr>
          <w:rFonts w:ascii="Arial" w:hAnsi="Arial" w:cs="Arial" w:eastAsia="Arial"/>
          <w:sz w:val="22"/>
          <w:szCs w:val="22"/>
        </w:rPr>
        <w:t>: la planificación y los entregables siguen fases secuenciales (alineadas con las tres fases académicas, con revisión y aprobación antes de avanzar, como en un modelo en cascada), mientras que el desarrollo se organiza en iteraciones semanales cortas que permiten incorporar la retroalimentación del dueño/a y del docente.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1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Ciclo de Vida y Enfoque de Desarrollo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3230"/>
        <w:gridCol w:w="2090"/>
        <w:gridCol w:w="950"/>
        <w:gridCol w:w="3230"/>
      </w:tblGrid>
      <w:tr>
        <w:trPr>
          <w:tblHeader/>
        </w:trPr>
        <w:tc>
          <w:tcPr>
            <w:tcW w:w="323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209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Período</w:t>
            </w:r>
          </w:p>
        </w:tc>
        <w:tc>
          <w:tcPr>
            <w:tcW w:w="9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Semanas</w:t>
            </w:r>
          </w:p>
        </w:tc>
        <w:tc>
          <w:tcPr>
            <w:tcW w:w="323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Resultado esperado</w:t>
            </w:r>
          </w:p>
        </w:tc>
      </w:tr>
      <w:tr>
        <w:trPr>
          <w:cantSplit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Fase 1 — Definición del proyecto y propuesta de valor</w:t>
            </w: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14-08-2026 al 04-09-2026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S1–S4</w:t>
            </w:r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Problema, objetivos, propuesta de valor, Acta y ERS aprobados</w:t>
            </w:r>
          </w:p>
        </w:tc>
      </w:tr>
      <w:tr>
        <w:trPr>
          <w:cantSplit/>
        </w:trPr>
        <w:tc>
          <w:tcPr>
            <w:tcW w:w="32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Fase 2 — Diseño y desarrollo del sistema</w:t>
            </w: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07-09-2026 al 18-10-2026</w:t>
            </w:r>
          </w:p>
        </w:tc>
        <w:tc>
          <w:tcPr>
            <w:tcW w:w="9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S5–S10</w:t>
            </w:r>
          </w:p>
        </w:tc>
        <w:tc>
          <w:tcPr>
            <w:tcW w:w="32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Arquitectura 4+1, modelo relacional, documentación de gestión y desarrollo integrado</w:t>
            </w:r>
          </w:p>
        </w:tc>
      </w:tr>
      <w:tr>
        <w:trPr>
          <w:cantSplit/>
        </w:trPr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Fase 3 — Pruebas, ajustes y entrega final</w:t>
            </w:r>
          </w:p>
        </w:tc>
        <w:tc>
          <w:tcPr>
            <w:tcW w:w="20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19-10-2026 al 13-11-2026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S11–S14</w:t>
            </w:r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Pruebas, validación con el negocio, entrega y cierre</w:t>
            </w:r>
          </w:p>
        </w:tc>
      </w:tr>
      <w:tr>
        <w:trPr>
          <w:cantSplit/>
        </w:trPr>
        <w:tc>
          <w:tcPr>
            <w:tcW w:w="32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Defensa</w:t>
            </w:r>
          </w:p>
        </w:tc>
        <w:tc>
          <w:tcPr>
            <w:tcW w:w="209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27-11-2026 (probable)</w:t>
            </w:r>
          </w:p>
        </w:tc>
        <w:tc>
          <w:tcPr>
            <w:tcW w:w="9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—</w:t>
            </w:r>
          </w:p>
        </w:tc>
        <w:tc>
          <w:tcPr>
            <w:tcW w:w="323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Presentación y defensa del proyecto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3. Procesos de Dirección de Proyectos a Utilizar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Los procesos se seleccionan a partir de las áreas de conocimiento de la guía del PMBOK (Project Management Institute [PMI], 2021), con el nivel de detalle adecuado a un equipo de dos integrantes.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2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Procesos de Dirección de Proyectos a Utilizar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2375"/>
        <w:gridCol w:w="7125"/>
      </w:tblGrid>
      <w:tr>
        <w:trPr>
          <w:tblHeader/>
        </w:trPr>
        <w:tc>
          <w:tcPr>
            <w:tcW w:w="237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Área de conocimiento</w:t>
            </w:r>
          </w:p>
        </w:tc>
        <w:tc>
          <w:tcPr>
            <w:tcW w:w="71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Procesos aplicados en este proyecto</w:t>
            </w:r>
          </w:p>
        </w:tc>
      </w:tr>
      <w:tr>
        <w:trPr>
          <w:cantSplit/>
        </w:trPr>
        <w:tc>
          <w:tcPr>
            <w:tcW w:w="23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Integración</w:t>
            </w:r>
          </w:p>
        </w:tc>
        <w:tc>
          <w:tcPr>
            <w:tcW w:w="71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Acta de Constitución, Plan de Dirección, control integrado de cambios (documento 11), informe de avance y cierre.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Alcance</w:t>
            </w:r>
          </w:p>
        </w:tc>
        <w:tc>
          <w:tcPr>
            <w:tcW w:w="71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Recopilar requisitos (ERS y documento 04), definir alcance (05), crear EDT (06), validar con el dueño/a y controlar.</w:t>
            </w:r>
          </w:p>
        </w:tc>
      </w:tr>
      <w:tr>
        <w:trPr>
          <w:cantSplit/>
        </w:trPr>
        <w:tc>
          <w:tcPr>
            <w:tcW w:w="23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Cronograma</w:t>
            </w:r>
          </w:p>
        </w:tc>
        <w:tc>
          <w:tcPr>
            <w:tcW w:w="71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Definir actividades, secuenciar, estimar duraciones, Carta Gantt (07), ruta crítica y control semanal.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Costos</w:t>
            </w:r>
          </w:p>
        </w:tc>
        <w:tc>
          <w:tcPr>
            <w:tcW w:w="71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Estimación ascendente por paquete de trabajo, línea base, KPIs de negocio, ROI y costos cloud futuros (08).</w:t>
            </w:r>
          </w:p>
        </w:tc>
      </w:tr>
      <w:tr>
        <w:trPr>
          <w:cantSplit/>
        </w:trPr>
        <w:tc>
          <w:tcPr>
            <w:tcW w:w="23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Calidad</w:t>
            </w:r>
          </w:p>
        </w:tc>
        <w:tc>
          <w:tcPr>
            <w:tcW w:w="71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Plan de calidad (09), métricas, revisiones de código, plan de pruebas y criterios de aceptación.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Recursos</w:t>
            </w:r>
          </w:p>
        </w:tc>
        <w:tc>
          <w:tcPr>
            <w:tcW w:w="71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Roles, RACI y recursos tecnológicos (10).</w:t>
            </w:r>
          </w:p>
        </w:tc>
      </w:tr>
      <w:tr>
        <w:trPr>
          <w:cantSplit/>
        </w:trPr>
        <w:tc>
          <w:tcPr>
            <w:tcW w:w="23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Comunicaciones</w:t>
            </w:r>
          </w:p>
        </w:tc>
        <w:tc>
          <w:tcPr>
            <w:tcW w:w="71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Plan de comunicaciones con reunión semanal e informes por hito (10).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Riesgos</w:t>
            </w:r>
          </w:p>
        </w:tc>
        <w:tc>
          <w:tcPr>
            <w:tcW w:w="71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Registro de riesgos con probabilidad, impacto y respuesta, incluido el riesgo regulatorio (15).</w:t>
            </w:r>
          </w:p>
        </w:tc>
      </w:tr>
      <w:tr>
        <w:trPr>
          <w:cantSplit/>
        </w:trPr>
        <w:tc>
          <w:tcPr>
            <w:tcW w:w="23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Adquisiciones</w:t>
            </w:r>
          </w:p>
        </w:tc>
        <w:tc>
          <w:tcPr>
            <w:tcW w:w="71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Selección de hosting/cloud, pasarela de pago, dominio y correo con cláusulas de protección de datos (10).</w:t>
            </w:r>
          </w:p>
        </w:tc>
      </w:tr>
      <w:tr>
        <w:trPr>
          <w:cantSplit/>
        </w:trPr>
        <w:tc>
          <w:tcPr>
            <w:tcW w:w="237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Interesados</w:t>
            </w:r>
          </w:p>
        </w:tc>
        <w:tc>
          <w:tcPr>
            <w:tcW w:w="71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Identificación, matriz poder/interés y estrategias, incluida la Agencia de Protección de Datos (02).</w:t>
            </w:r>
          </w:p>
        </w:tc>
      </w:tr>
    </w:tbl>
    <w:p>
      <w:pPr>
        <w:spacing w:before="0" w:after="60"/>
      </w:pP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 xml:space="preserve">Adicionalmente, el proyecto incorpora un área transversal de </w:t>
      </w:r>
      <w:r>
        <w:rPr>
          <w:rFonts w:ascii="Arial" w:hAnsi="Arial" w:cs="Arial" w:eastAsia="Arial"/>
          <w:b/>
          <w:bCs/>
          <w:sz w:val="22"/>
          <w:szCs w:val="22"/>
        </w:rPr>
        <w:t>gobierno y protección de datos personales</w:t>
      </w:r>
      <w:r>
        <w:rPr>
          <w:rFonts w:ascii="Arial" w:hAnsi="Arial" w:cs="Arial" w:eastAsia="Arial"/>
          <w:sz w:val="22"/>
          <w:szCs w:val="22"/>
        </w:rPr>
        <w:t xml:space="preserve"> (Anexo «Cumplimiento normativo y gobierno de datos»), basada en el marco DAMA-DMBOK (DAMA International, 2017).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4. Descripción de Cómo se Ejecutará el Trabajo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b/>
          <w:bCs/>
          <w:sz w:val="22"/>
          <w:szCs w:val="22"/>
        </w:rPr>
        <w:t>Reunión semanal fija</w:t>
      </w:r>
      <w:r>
        <w:rPr>
          <w:rFonts w:ascii="Arial" w:hAnsi="Arial" w:cs="Arial" w:eastAsia="Arial"/>
          <w:sz w:val="22"/>
          <w:szCs w:val="22"/>
        </w:rPr>
        <w:t xml:space="preserve"> del equipo (viernes, taller de proyectos, 5 horas pedagógicas) para planificar la iteración, revisar avance y riesgos.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b/>
          <w:bCs/>
          <w:sz w:val="22"/>
          <w:szCs w:val="22"/>
        </w:rPr>
        <w:t>Gestión de tareas</w:t>
      </w:r>
      <w:r>
        <w:rPr>
          <w:rFonts w:ascii="Arial" w:hAnsi="Arial" w:cs="Arial" w:eastAsia="Arial"/>
          <w:sz w:val="22"/>
          <w:szCs w:val="22"/>
        </w:rPr>
        <w:t xml:space="preserve"> en un tablero Kanban (Por hacer / En curso / En revisión / Hecho) y seguimiento en la Carta Gantt.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b/>
          <w:bCs/>
          <w:sz w:val="22"/>
          <w:szCs w:val="22"/>
        </w:rPr>
        <w:t>Repositorio GitHub</w:t>
      </w:r>
      <w:r>
        <w:rPr>
          <w:rFonts w:ascii="Arial" w:hAnsi="Arial" w:cs="Arial" w:eastAsia="Arial"/>
          <w:sz w:val="22"/>
          <w:szCs w:val="22"/>
        </w:rPr>
        <w:t xml:space="preserve"> </w:t>
      </w:r>
      <w:r>
        <w:rPr>
          <w:rFonts w:ascii="Consolas" w:hAnsi="Consolas" w:cs="Consolas" w:eastAsia="Consolas"/>
          <w:sz w:val="20"/>
          <w:szCs w:val="20"/>
        </w:rPr>
        <w:t>Yerko-Rosales/Proyecto_Barberia</w:t>
      </w:r>
      <w:r>
        <w:rPr>
          <w:rFonts w:ascii="Arial" w:hAnsi="Arial" w:cs="Arial" w:eastAsia="Arial"/>
          <w:sz w:val="22"/>
          <w:szCs w:val="22"/>
        </w:rPr>
        <w:t xml:space="preserve"> como fuente única de documentos y código, con una carpeta «Seguimiento semanal».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b/>
          <w:bCs/>
          <w:sz w:val="22"/>
          <w:szCs w:val="22"/>
        </w:rPr>
        <w:t>Validación con el negocio</w:t>
      </w:r>
      <w:r>
        <w:rPr>
          <w:rFonts w:ascii="Arial" w:hAnsi="Arial" w:cs="Arial" w:eastAsia="Arial"/>
          <w:sz w:val="22"/>
          <w:szCs w:val="22"/>
        </w:rPr>
        <w:t>: el/la dueño/a valida supuestos, reglas del abono y pantallas en cada hito.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b/>
          <w:bCs/>
          <w:sz w:val="22"/>
          <w:szCs w:val="22"/>
        </w:rPr>
        <w:t>Trabajo asíncrono</w:t>
      </w:r>
      <w:r>
        <w:rPr>
          <w:rFonts w:ascii="Arial" w:hAnsi="Arial" w:cs="Arial" w:eastAsia="Arial"/>
          <w:sz w:val="22"/>
          <w:szCs w:val="22"/>
        </w:rPr>
        <w:t xml:space="preserve"> mediante el repositorio y un canal de mensajería del equipo.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5. Plan de Gestión de Cambios (Resumen)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Toda modificación al alcance, cronograma, costos, arquitectura o reglas de negocio se solicita mediante el formulario del Documento de Control Integrado de Cambios (11). El Jefe de Proyecto evalúa el impacto, el Comité de Control de Cambios (equipo + dueño/a; el docente como consultor) aprueba o rechaza, y luego se actualizan las líneas base y los documentos afectados. Los cambios aprobados al 09-10-2026 se registran como SC-01 a SC-10.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6. Plan de Gestión de la Configuración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b/>
          <w:bCs/>
          <w:sz w:val="22"/>
          <w:szCs w:val="22"/>
        </w:rPr>
        <w:t>Documentos</w:t>
      </w:r>
      <w:r>
        <w:rPr>
          <w:rFonts w:ascii="Arial" w:hAnsi="Arial" w:cs="Arial" w:eastAsia="Arial"/>
          <w:sz w:val="22"/>
          <w:szCs w:val="22"/>
        </w:rPr>
        <w:t>: versionados en GitHub y respaldados en Google Drive (carpeta «barberia»); cada documento tiene tabla de versiones.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b/>
          <w:bCs/>
          <w:sz w:val="22"/>
          <w:szCs w:val="22"/>
        </w:rPr>
        <w:t>Código</w:t>
      </w:r>
      <w:r>
        <w:rPr>
          <w:rFonts w:ascii="Arial" w:hAnsi="Arial" w:cs="Arial" w:eastAsia="Arial"/>
          <w:sz w:val="22"/>
          <w:szCs w:val="22"/>
        </w:rPr>
        <w:t xml:space="preserve">: ramas </w:t>
      </w:r>
      <w:r>
        <w:rPr>
          <w:rFonts w:ascii="Consolas" w:hAnsi="Consolas" w:cs="Consolas" w:eastAsia="Consolas"/>
          <w:sz w:val="20"/>
          <w:szCs w:val="20"/>
        </w:rPr>
        <w:t>main</w:t>
      </w:r>
      <w:r>
        <w:rPr>
          <w:rFonts w:ascii="Arial" w:hAnsi="Arial" w:cs="Arial" w:eastAsia="Arial"/>
          <w:sz w:val="22"/>
          <w:szCs w:val="22"/>
        </w:rPr>
        <w:t xml:space="preserve"> (estable) y </w:t>
      </w:r>
      <w:r>
        <w:rPr>
          <w:rFonts w:ascii="Consolas" w:hAnsi="Consolas" w:cs="Consolas" w:eastAsia="Consolas"/>
          <w:sz w:val="20"/>
          <w:szCs w:val="20"/>
        </w:rPr>
        <w:t>develop</w:t>
      </w:r>
      <w:r>
        <w:rPr>
          <w:rFonts w:ascii="Arial" w:hAnsi="Arial" w:cs="Arial" w:eastAsia="Arial"/>
          <w:sz w:val="22"/>
          <w:szCs w:val="22"/>
        </w:rPr>
        <w:t>; cambios mediante pull request con revisión del otro integrante.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b/>
          <w:bCs/>
          <w:sz w:val="22"/>
          <w:szCs w:val="22"/>
        </w:rPr>
        <w:t>Diagramas</w:t>
      </w:r>
      <w:r>
        <w:rPr>
          <w:rFonts w:ascii="Arial" w:hAnsi="Arial" w:cs="Arial" w:eastAsia="Arial"/>
          <w:sz w:val="22"/>
          <w:szCs w:val="22"/>
        </w:rPr>
        <w:t>: código fuente PlantUML versionado junto a la imagen PNG generada.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b/>
          <w:bCs/>
          <w:sz w:val="22"/>
          <w:szCs w:val="22"/>
        </w:rPr>
        <w:t>Base de datos</w:t>
      </w:r>
      <w:r>
        <w:rPr>
          <w:rFonts w:ascii="Arial" w:hAnsi="Arial" w:cs="Arial" w:eastAsia="Arial"/>
          <w:sz w:val="22"/>
          <w:szCs w:val="22"/>
        </w:rPr>
        <w:t>: script DDL versionado; los cambios de esquema se aplican con migraciones numeradas (sin borrado destructivo).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b/>
          <w:bCs/>
          <w:sz w:val="22"/>
          <w:szCs w:val="22"/>
        </w:rPr>
        <w:t>Secretos</w:t>
      </w:r>
      <w:r>
        <w:rPr>
          <w:rFonts w:ascii="Arial" w:hAnsi="Arial" w:cs="Arial" w:eastAsia="Arial"/>
          <w:sz w:val="22"/>
          <w:szCs w:val="22"/>
        </w:rPr>
        <w:t>: nunca en el repositorio; se gestionan con variables de entorno o gestor de secretos.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7. Línea Base del Proyecto</w:t>
      </w:r>
    </w:p>
    <w:p>
      <w:pPr>
        <w:spacing w:before="0" w:after="120" w:line="276" w:lineRule="auto"/>
        <w:jc w:val="both"/>
      </w:pPr>
      <w:r>
        <w:rPr>
          <w:rFonts w:ascii="Arial" w:hAnsi="Arial" w:cs="Arial" w:eastAsia="Arial"/>
          <w:sz w:val="22"/>
          <w:szCs w:val="22"/>
        </w:rPr>
        <w:t>Referencia a los documentos donde se fijan las líneas base de alcance, cronograma y costos: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Línea base de alcance: Informe de Definición del Alcance (05), EDT y Diccionario (06) y ERS revisión 04.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Línea base de cronograma: Cronograma y Carta Gantt (07).</w:t>
      </w:r>
    </w:p>
    <w:p>
      <w:pPr>
        <w:numPr>
          <w:ilvl w:val="0"/>
          <w:numId w:val="1"/>
        </w:numPr>
        <w:spacing w:before="0" w:after="60" w:line="264" w:lineRule="auto"/>
        <w:ind w:left="540" w:hanging="270"/>
      </w:pPr>
      <w:r>
        <w:rPr>
          <w:rFonts w:ascii="Arial" w:hAnsi="Arial" w:cs="Arial" w:eastAsia="Arial"/>
          <w:sz w:val="22"/>
          <w:szCs w:val="22"/>
        </w:rPr>
        <w:t>Línea base de costos: Plan de Gestión de Costos y Presupuesto (08).</w:t>
      </w:r>
    </w:p>
    <w:p>
      <w:pPr>
        <w:pBdr>
          <w:left w:val="single" w:sz="18" w:space="6" w:color="2E74B5"/>
        </w:pBdr>
        <w:shd w:val="clear" w:color="auto" w:fill="EAF1FB"/>
        <w:spacing w:before="80" w:after="140" w:line="264" w:lineRule="auto"/>
        <w:ind w:left="120" w:right="120"/>
      </w:pPr>
      <w:r>
        <w:rPr>
          <w:rFonts w:ascii="Arial" w:hAnsi="Arial" w:cs="Arial" w:eastAsia="Arial"/>
          <w:b/>
          <w:bCs/>
          <w:sz w:val="21"/>
          <w:szCs w:val="21"/>
        </w:rPr>
        <w:t xml:space="preserve">Nota: </w:t>
      </w:r>
      <w:r>
        <w:rPr>
          <w:rFonts w:ascii="Arial" w:hAnsi="Arial" w:cs="Arial" w:eastAsia="Arial"/>
          <w:sz w:val="21"/>
          <w:szCs w:val="21"/>
        </w:rPr>
        <w:t>Semana actual del proyecto: S9 (05-10 al 11-10-2026) de S14. La semana 1 del proyecto es siempre la del 10 al 16 de agosto de 2026.</w:t>
      </w: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8. Revisiones de Gestión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3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Revisiones de Gestión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3325"/>
        <w:gridCol w:w="1710"/>
        <w:gridCol w:w="4465"/>
      </w:tblGrid>
      <w:tr>
        <w:trPr>
          <w:tblHeader/>
        </w:trPr>
        <w:tc>
          <w:tcPr>
            <w:tcW w:w="332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Hito de control</w:t>
            </w:r>
          </w:p>
        </w:tc>
        <w:tc>
          <w:tcPr>
            <w:tcW w:w="171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Fecha (semana)</w:t>
            </w:r>
          </w:p>
        </w:tc>
        <w:tc>
          <w:tcPr>
            <w:tcW w:w="4465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Revisión</w:t>
            </w:r>
          </w:p>
        </w:tc>
      </w:tr>
      <w:tr>
        <w:trPr>
          <w:cantSplit/>
        </w:trPr>
        <w:tc>
          <w:tcPr>
            <w:tcW w:w="3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H1 Cierre Fase 1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04-09-2026 (S4)</w:t>
            </w:r>
          </w:p>
        </w:tc>
        <w:tc>
          <w:tcPr>
            <w:tcW w:w="4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Aprobación de propuesta, Acta y ERS</w:t>
            </w:r>
          </w:p>
        </w:tc>
      </w:tr>
      <w:tr>
        <w:trPr>
          <w:cantSplit/>
        </w:trPr>
        <w:tc>
          <w:tcPr>
            <w:tcW w:w="33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H2 Avance Fase 2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11-09-2026 (S5)</w:t>
            </w:r>
          </w:p>
        </w:tc>
        <w:tc>
          <w:tcPr>
            <w:tcW w:w="446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Presentación de avance al docente</w:t>
            </w:r>
          </w:p>
        </w:tc>
      </w:tr>
      <w:tr>
        <w:trPr>
          <w:cantSplit/>
        </w:trPr>
        <w:tc>
          <w:tcPr>
            <w:tcW w:w="3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H3 Documentación de diseño aprobada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16-10-2026 (S10)</w:t>
            </w:r>
          </w:p>
        </w:tc>
        <w:tc>
          <w:tcPr>
            <w:tcW w:w="4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Arquitectura 4+1, modelo relacional, cumplimiento Ley N° 21.719</w:t>
            </w:r>
          </w:p>
        </w:tc>
      </w:tr>
      <w:tr>
        <w:trPr>
          <w:cantSplit/>
        </w:trPr>
        <w:tc>
          <w:tcPr>
            <w:tcW w:w="33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H4 Cierre Fase 2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18-10-2026 (S10)</w:t>
            </w:r>
          </w:p>
        </w:tc>
        <w:tc>
          <w:tcPr>
            <w:tcW w:w="446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Entrega Fase 2</w:t>
            </w:r>
          </w:p>
        </w:tc>
      </w:tr>
      <w:tr>
        <w:trPr>
          <w:cantSplit/>
        </w:trPr>
        <w:tc>
          <w:tcPr>
            <w:tcW w:w="3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H5 Presentación de avance del proyecto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23-10-2026 (S11)</w:t>
            </w:r>
          </w:p>
        </w:tc>
        <w:tc>
          <w:tcPr>
            <w:tcW w:w="4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Presentación de avance al docente</w:t>
            </w:r>
          </w:p>
        </w:tc>
      </w:tr>
      <w:tr>
        <w:trPr>
          <w:cantSplit/>
        </w:trPr>
        <w:tc>
          <w:tcPr>
            <w:tcW w:w="33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H6 Sistema integrado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30-10-2026 (S12)</w:t>
            </w:r>
          </w:p>
        </w:tc>
        <w:tc>
          <w:tcPr>
            <w:tcW w:w="446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Web + app + API + PostgreSQL + pasarela</w:t>
            </w:r>
          </w:p>
        </w:tc>
      </w:tr>
      <w:tr>
        <w:trPr>
          <w:cantSplit/>
        </w:trPr>
        <w:tc>
          <w:tcPr>
            <w:tcW w:w="3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H7 Aceptación del usuario (UAT)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10-11-2026 (S14)</w:t>
            </w:r>
          </w:p>
        </w:tc>
        <w:tc>
          <w:tcPr>
            <w:tcW w:w="4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Validación con el/la dueño/a</w:t>
            </w:r>
          </w:p>
        </w:tc>
      </w:tr>
      <w:tr>
        <w:trPr>
          <w:cantSplit/>
        </w:trPr>
        <w:tc>
          <w:tcPr>
            <w:tcW w:w="332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H8 Entrega final</w:t>
            </w:r>
          </w:p>
        </w:tc>
        <w:tc>
          <w:tcPr>
            <w:tcW w:w="171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13-11-2026 (S14)</w:t>
            </w:r>
          </w:p>
        </w:tc>
        <w:tc>
          <w:tcPr>
            <w:tcW w:w="4465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Informe final y presentación</w:t>
            </w:r>
          </w:p>
        </w:tc>
      </w:tr>
      <w:tr>
        <w:trPr>
          <w:cantSplit/>
        </w:trPr>
        <w:tc>
          <w:tcPr>
            <w:tcW w:w="332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H9 Defensa</w:t>
            </w:r>
          </w:p>
        </w:tc>
        <w:tc>
          <w:tcPr>
            <w:tcW w:w="171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27-11-2026 (S16)</w:t>
            </w:r>
          </w:p>
        </w:tc>
        <w:tc>
          <w:tcPr>
            <w:tcW w:w="446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Presentación y defensa (probable)</w:t>
            </w:r>
          </w:p>
        </w:tc>
      </w:tr>
    </w:tbl>
    <w:p>
      <w:pPr>
        <w:spacing w:before="0" w:after="60"/>
      </w:pPr>
    </w:p>
    <w:p>
      <w:pPr>
        <w:pStyle w:val="Heading1"/>
        <w:keepNext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9. Roles Clave del Equipo del Proyecto</w:t>
      </w:r>
    </w:p>
    <w:p>
      <w:pPr>
        <w:keepNext/>
        <w:spacing w:before="160" w:after="0"/>
      </w:pPr>
      <w:r>
        <w:rPr>
          <w:rFonts w:ascii="Arial" w:hAnsi="Arial" w:cs="Arial" w:eastAsia="Arial"/>
          <w:b/>
          <w:bCs/>
          <w:sz w:val="21"/>
          <w:szCs w:val="21"/>
        </w:rPr>
        <w:t>Tabla 4</w:t>
      </w:r>
    </w:p>
    <w:p>
      <w:pPr>
        <w:keepNext/>
        <w:spacing w:before="0" w:after="80"/>
      </w:pPr>
      <w:r>
        <w:rPr>
          <w:rFonts w:ascii="Arial" w:hAnsi="Arial" w:cs="Arial" w:eastAsia="Arial"/>
          <w:i/>
          <w:iCs/>
          <w:sz w:val="21"/>
          <w:szCs w:val="21"/>
        </w:rPr>
        <w:t>Roles Clave del Equipo del Proyecto</w:t>
      </w:r>
    </w:p>
    <w:tbl>
      <w:tblPr>
        <w:tblW w:w="95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firstColumn="1" w:firstRow="1" w:lastColumn="0" w:lastRow="0" w:noHBand="0" w:noVBand="1" w:val="04A0"/>
      </w:tblPr>
      <w:tblGrid>
        <w:gridCol w:w="1900"/>
        <w:gridCol w:w="2850"/>
        <w:gridCol w:w="4750"/>
      </w:tblGrid>
      <w:tr>
        <w:trPr>
          <w:tblHeader/>
        </w:trPr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8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475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/>
                <w:bCs/>
                <w:color w:val="FFFFFF"/>
                <w:sz w:val="18"/>
                <w:szCs w:val="18"/>
              </w:rPr>
              <w:t>Responsabilidades principales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Yerko Rosales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Jefe de Proyecto · Analista · Diseño UX/UI · Analista QA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Planificación y control, documentación, requisitos, diseño de interfaces, plan de pruebas, relación con el dueño/a y el docente.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Jonathan Ojeda</w:t>
            </w:r>
          </w:p>
        </w:tc>
        <w:tc>
          <w:tcPr>
            <w:tcW w:w="28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Desarrollador(a) Backend y Base de Datos</w:t>
            </w:r>
          </w:p>
        </w:tc>
        <w:tc>
          <w:tcPr>
            <w:tcW w:w="4750" w:type="dxa"/>
            <w:shd w:val="clear" w:color="auto" w:fill="F2F5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Arquitectura técnica, API, modelo relacional PostgreSQL, integración con pasarela y notificaciones, app Android y sitio web.</w:t>
            </w:r>
          </w:p>
        </w:tc>
      </w:tr>
      <w:tr>
        <w:trPr>
          <w:cantSplit/>
        </w:trPr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Dueño/a de la barbería</w:t>
            </w:r>
          </w:p>
        </w:tc>
        <w:tc>
          <w:tcPr>
            <w:tcW w:w="2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Patrocinador y responsable de los datos</w:t>
            </w:r>
          </w:p>
        </w:tc>
        <w:tc>
          <w:tcPr>
            <w:tcW w:w="4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sz w:val="18"/>
                <w:szCs w:val="18"/>
              </w:rPr>
              <w:t>Validar alcance y supuestos, aprobar entregables, designar al responsable de cumplimiento.</w:t>
            </w:r>
          </w:p>
        </w:tc>
      </w:tr>
    </w:tbl>
    <w:p>
      <w:pPr>
        <w:spacing w:before="0" w:after="60"/>
      </w:pPr>
    </w:p>
    <w:p>
      <w:pPr>
        <w:pBdr>
          <w:left w:val="single" w:sz="18" w:space="6" w:color="2E74B5"/>
        </w:pBdr>
        <w:shd w:val="clear" w:color="auto" w:fill="EAF1FB"/>
        <w:spacing w:before="80" w:after="140" w:line="264" w:lineRule="auto"/>
        <w:ind w:left="120" w:right="120"/>
      </w:pPr>
      <w:r>
        <w:rPr>
          <w:rFonts w:ascii="Arial" w:hAnsi="Arial" w:cs="Arial" w:eastAsia="Arial"/>
          <w:b/>
          <w:bCs/>
          <w:sz w:val="21"/>
          <w:szCs w:val="21"/>
        </w:rPr>
        <w:t xml:space="preserve">Nota: </w:t>
      </w:r>
      <w:r>
        <w:rPr>
          <w:rFonts w:ascii="Arial" w:hAnsi="Arial" w:cs="Arial" w:eastAsia="Arial"/>
          <w:sz w:val="21"/>
          <w:szCs w:val="21"/>
        </w:rPr>
        <w:t>Al ser un equipo de dos integrantes, el rol de Analista QA lo asume el Jefe de Proyecto, con revisión cruzada del código entre ambos integrantes.</w:t>
      </w:r>
    </w:p>
    <w:p>
      <w:pPr>
        <w:pStyle w:val="Heading1"/>
        <w:keepNext/>
        <w:pageBreakBefore/>
        <w:spacing w:before="360" w:after="160"/>
      </w:pPr>
      <w:r>
        <w:rPr>
          <w:rFonts w:ascii="Arial" w:hAnsi="Arial" w:cs="Arial" w:eastAsia="Arial"/>
          <w:b/>
          <w:bCs/>
          <w:color w:val="1F3864"/>
          <w:sz w:val="28"/>
          <w:szCs w:val="28"/>
        </w:rPr>
        <w:t>Referencias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DAMA International. (2017). </w:t>
      </w:r>
      <w:r>
        <w:rPr>
          <w:rFonts w:ascii="Arial" w:hAnsi="Arial" w:cs="Arial" w:eastAsia="Arial"/>
          <w:i/>
          <w:iCs/>
          <w:sz w:val="22"/>
          <w:szCs w:val="22"/>
        </w:rPr>
        <w:t>DAMA-DMBOK: Data management body of knowledge</w:t>
      </w:r>
      <w:r>
        <w:rPr>
          <w:rFonts w:ascii="Arial" w:hAnsi="Arial" w:cs="Arial" w:eastAsia="Arial"/>
          <w:sz w:val="22"/>
          <w:szCs w:val="22"/>
        </w:rPr>
        <w:t xml:space="preserve"> (2.ª ed.). Technics Publications.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Ley N° 19.628. (1999, 28 de agosto). </w:t>
      </w:r>
      <w:r>
        <w:rPr>
          <w:rFonts w:ascii="Arial" w:hAnsi="Arial" w:cs="Arial" w:eastAsia="Arial"/>
          <w:i/>
          <w:iCs/>
          <w:sz w:val="22"/>
          <w:szCs w:val="22"/>
        </w:rPr>
        <w:t>Sobre protección de la vida privada</w:t>
      </w:r>
      <w:r>
        <w:rPr>
          <w:rFonts w:ascii="Arial" w:hAnsi="Arial" w:cs="Arial" w:eastAsia="Arial"/>
          <w:sz w:val="22"/>
          <w:szCs w:val="22"/>
        </w:rPr>
        <w:t>. Diario Oficial de la República de Chile. https://www.bcn.cl/leychile/navegar?idNorma=141599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Ley N° 21.719. (2024, 13 de diciembre). </w:t>
      </w:r>
      <w:r>
        <w:rPr>
          <w:rFonts w:ascii="Arial" w:hAnsi="Arial" w:cs="Arial" w:eastAsia="Arial"/>
          <w:i/>
          <w:iCs/>
          <w:sz w:val="22"/>
          <w:szCs w:val="22"/>
        </w:rPr>
        <w:t>Regula la protección y el tratamiento de los datos personales y crea la Agencia de Protección de Datos Personales</w:t>
      </w:r>
      <w:r>
        <w:rPr>
          <w:rFonts w:ascii="Arial" w:hAnsi="Arial" w:cs="Arial" w:eastAsia="Arial"/>
          <w:sz w:val="22"/>
          <w:szCs w:val="22"/>
        </w:rPr>
        <w:t>. Diario Oficial de la República de Chile. https://www.bcn.cl/leychile/navegar?idNorma=1209272</w:t>
      </w:r>
    </w:p>
    <w:p>
      <w:pPr>
        <w:spacing w:before="0" w:after="120" w:line="360" w:lineRule="auto"/>
        <w:ind w:left="720" w:hanging="720"/>
      </w:pPr>
      <w:r>
        <w:rPr>
          <w:rFonts w:ascii="Arial" w:hAnsi="Arial" w:cs="Arial" w:eastAsia="Arial"/>
          <w:sz w:val="22"/>
          <w:szCs w:val="22"/>
        </w:rPr>
        <w:t xml:space="preserve">Project Management Institute [PMI]. (2021). </w:t>
      </w:r>
      <w:r>
        <w:rPr>
          <w:rFonts w:ascii="Arial" w:hAnsi="Arial" w:cs="Arial" w:eastAsia="Arial"/>
          <w:i/>
          <w:iCs/>
          <w:sz w:val="22"/>
          <w:szCs w:val="22"/>
        </w:rPr>
        <w:t>A guide to the project management body of knowledge (PMBOK® guide)</w:t>
      </w:r>
      <w:r>
        <w:rPr>
          <w:rFonts w:ascii="Arial" w:hAnsi="Arial" w:cs="Arial" w:eastAsia="Arial"/>
          <w:sz w:val="22"/>
          <w:szCs w:val="22"/>
        </w:rPr>
        <w:t xml:space="preserve"> (7.ª ed.). Project Management Institute.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Plan de Dirección del Proyecto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Yerko Rosales, Jonathan Ojeda</dc:creator>
  <cp:lastModifiedBy>Un-named</cp:lastModifiedBy>
  <cp:revision>1</cp:revision>
  <dcterms:created xsi:type="dcterms:W3CDTF">2026-08-27T15:54:55.407Z</dcterms:created>
  <dcterms:modified xsi:type="dcterms:W3CDTF">2026-08-27T15:54:55.407Z</dcterms:modified>
  <dc:title>03_Plan_Direccion_del_Proyecto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