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14:paraId="6803E4C4" w14:textId="77777777" w:rsidR="003A56F9" w:rsidRDefault="00000000">
      <w:pPr>
        <w:spacing w:before="400" w:after="400"/>
        <w:jc w:val="center"/>
      </w:pPr>
      <w:r>
        <w:rPr>
          <w:b/>
          <w:bCs/>
          <w:color w:val="1F3864"/>
          <w:sz w:val="32"/>
          <w:szCs w:val="32"/>
        </w:rPr>
        <w:t>DUOC UC</w:t>
      </w:r>
    </w:p>
    <w:p w14:paraId="69C650E8" w14:textId="77777777" w:rsidR="003A56F9" w:rsidRDefault="00000000">
      <w:pPr>
        <w:spacing w:after="600"/>
        <w:jc w:val="center"/>
      </w:pPr>
      <w:r>
        <w:rPr>
          <w:sz w:val="22"/>
          <w:szCs w:val="22"/>
        </w:rPr>
        <w:t>Escuela de Informática y Telecomunicaciones</w:t>
      </w:r>
    </w:p>
    <w:p w14:paraId="781AD5AE" w14:textId="77777777" w:rsidR="003A56F9" w:rsidRDefault="00000000">
      <w:pPr>
        <w:spacing w:before="800" w:after="200"/>
        <w:jc w:val="center"/>
      </w:pPr>
      <w:r>
        <w:rPr>
          <w:b/>
          <w:bCs/>
          <w:color w:val="1F3864"/>
          <w:sz w:val="32"/>
          <w:szCs w:val="32"/>
        </w:rPr>
        <w:t>Plan de Gestión de la Calidad</w:t>
      </w:r>
    </w:p>
    <w:p w14:paraId="402B79DA" w14:textId="77777777" w:rsidR="008C0EC9" w:rsidRDefault="00000000">
      <w:pPr>
        <w:spacing w:after="800"/>
        <w:jc w:val="center"/>
        <w:rPr>
          <w:b/>
          <w:bCs/>
        </w:rPr>
      </w:pPr>
      <w:r>
        <w:rPr>
          <w:b/>
          <w:bCs/>
        </w:rPr>
        <w:t>Proyecto Barbería Big-Boys</w:t>
      </w:r>
    </w:p>
    <w:p w14:paraId="7FFFE397" w14:textId="77777777" w:rsidR="008C0EC9" w:rsidRDefault="00000000">
      <w:pPr>
        <w:spacing w:after="800"/>
        <w:jc w:val="center"/>
        <w:rPr>
          <w:b/>
          <w:bCs/>
        </w:rPr>
      </w:pPr>
      <w:r>
        <w:rPr>
          <w:b/>
          <w:bCs/>
        </w:rPr>
        <w:t>—</w:t>
      </w:r>
    </w:p>
    <w:p w14:paraId="388468A6" w14:textId="5EEE88B8" w:rsidR="003A56F9" w:rsidRDefault="00000000">
      <w:pPr>
        <w:spacing w:after="800"/>
        <w:jc w:val="center"/>
      </w:pPr>
      <w:r>
        <w:rPr>
          <w:b/>
          <w:bCs/>
        </w:rPr>
        <w:t>Sistema de agendamiento y gestión (web + app móvil)</w:t>
      </w:r>
      <w:proofErr w:type="gramStart"/>
      <w:r>
        <w:rPr>
          <w:b/>
          <w:bCs/>
        </w:rPr>
      </w:r>
      <w:proofErr w:type="gramEnd"/>
      <w:r>
        <w:rPr>
          <w:b/>
          <w:bCs/>
        </w:rPr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Asignatura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 w:val="false"/>
                <w:color w:val="000000"/>
                <w:sz w:val="20"/>
                <w:szCs w:val="20"/>
              </w:rPr>
              <w:t>PTY4614 — Capstone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CAPSTONE_011V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Docente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Fernando Herrera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Integrantes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Yerko Rosales (Jefe de Proyecto, Analista y Diseño UX/UI) · Jonathan Ojeda (Desarrollo Backend y Base de Datos)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Fecha de entrega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18 de octubre de 2026 (entrega Fase 2)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 w:val="false"/>
                <w:color w:val="000000"/>
                <w:sz w:val="20"/>
                <w:szCs w:val="20"/>
              </w:rPr>
              <w:t>1.0</w:t>
            </w:r>
          </w:p>
        </w:tc>
      </w:tr>
    </w:tbl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1. Introducción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>El Plan de Gestión de la Calidad define los objetivos, estándares, métricas y actividades de aseguramiento y control que garantizan que el Proyecto Barbería Big-Boys satisface los requisitos del ERS y está listo para operar en las tres sucursales, cumpliendo la Ley N° 19.628 y, de forma anticipada, la Ley N° 21.719.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2. Objetivos de Calidad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El agendamiento con abono funciona sin errores en el 100% de los casos de prueba y nunca permite reservas traslapadas.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El 100% de los requerimientos de prioridad Muy alta y Alta de la V1 superan sus pruebas de aceptación.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Cero secretos en el código fuente y cero datos de tarjetas almacenados.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El 100% de las solicitudes de derechos del titular se responden dentro de 30 días corridos.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Satisfacción del dueño/a y de los administradores ≥ 4 de 5 en la UAT.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El negocio mide y mejora sus KPIs: abandono en día peak ≤ 8% y no-show ≤ 5%.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3. Estándares y Normas Aplicables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1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Estándares y Normas Aplicables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3325"/>
        <w:gridCol w:w="6175"/>
      </w:tblGrid>
      <w:tr>
        <w:trPr>
          <w:tblHeader/>
        </w:trPr>
        <w:tc>
          <w:tcPr>
            <w:tcW w:w="33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Estándar / norma</w:t>
            </w:r>
          </w:p>
        </w:tc>
        <w:tc>
          <w:tcPr>
            <w:tcW w:w="617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Aplicación</w:t>
            </w:r>
          </w:p>
        </w:tc>
      </w:tr>
      <w:tr>
        <w:trPr>
          <w:cantSplit/>
        </w:trPr>
        <w:tc>
          <w:tcPr>
            <w:tcW w:w="33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IEEE 830 (IEEE, 1998)</w:t>
            </w:r>
          </w:p>
        </w:tc>
        <w:tc>
          <w:tcPr>
            <w:tcW w:w="6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Especificación de requisitos (ERS).</w:t>
            </w:r>
          </w:p>
        </w:tc>
      </w:tr>
      <w:tr>
        <w:trPr>
          <w:cantSplit/>
        </w:trPr>
        <w:tc>
          <w:tcPr>
            <w:tcW w:w="33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ISO/IEC 25010 (ISO/IEC, 2011)</w:t>
            </w:r>
          </w:p>
        </w:tc>
        <w:tc>
          <w:tcPr>
            <w:tcW w:w="61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Modelo de calidad del producto: adecuación funcional, rendimiento, usabilidad, fiabilidad, seguridad, mantenibilidad y portabilidad.</w:t>
            </w:r>
          </w:p>
        </w:tc>
      </w:tr>
      <w:tr>
        <w:trPr>
          <w:cantSplit/>
        </w:trPr>
        <w:tc>
          <w:tcPr>
            <w:tcW w:w="33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Modelo 4+1 (Kruchten, 1995) y UML 2.5 (Object Management Group [OMG], 2017)</w:t>
            </w:r>
          </w:p>
        </w:tc>
        <w:tc>
          <w:tcPr>
            <w:tcW w:w="6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Documentación de arquitectura y diagramas.</w:t>
            </w:r>
          </w:p>
        </w:tc>
      </w:tr>
      <w:tr>
        <w:trPr>
          <w:cantSplit/>
        </w:trPr>
        <w:tc>
          <w:tcPr>
            <w:tcW w:w="33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OWASP Top 10 (OWASP Foundation, 2021)</w:t>
            </w:r>
          </w:p>
        </w:tc>
        <w:tc>
          <w:tcPr>
            <w:tcW w:w="61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Seguridad de la web y de la app móvil.</w:t>
            </w:r>
          </w:p>
        </w:tc>
      </w:tr>
      <w:tr>
        <w:trPr>
          <w:cantSplit/>
        </w:trPr>
        <w:tc>
          <w:tcPr>
            <w:tcW w:w="33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PCI DSS (PCI Security Standards Council, 2022) (delegado en la pasarela)</w:t>
            </w:r>
          </w:p>
        </w:tc>
        <w:tc>
          <w:tcPr>
            <w:tcW w:w="6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El sistema no almacena, procesa ni transmite datos de tarjetas.</w:t>
            </w:r>
          </w:p>
        </w:tc>
      </w:tr>
      <w:tr>
        <w:trPr>
          <w:cantSplit/>
        </w:trPr>
        <w:tc>
          <w:tcPr>
            <w:tcW w:w="33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Ley N° 19.628 y Ley N° 21.719 (Ley N° 19.628, 1999; Ley N° 21.719, 2024)</w:t>
            </w:r>
          </w:p>
        </w:tc>
        <w:tc>
          <w:tcPr>
            <w:tcW w:w="61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Protección de datos personales: licitud, consentimiento, derechos, seguridad y brechas.</w:t>
            </w:r>
          </w:p>
        </w:tc>
      </w:tr>
      <w:tr>
        <w:trPr>
          <w:cantSplit/>
        </w:trPr>
        <w:tc>
          <w:tcPr>
            <w:tcW w:w="33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DAMA-DMBOK (DAMA International, 2017)</w:t>
            </w:r>
          </w:p>
        </w:tc>
        <w:tc>
          <w:tcPr>
            <w:tcW w:w="6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Gobierno, calidad y ciclo de vida de los datos.</w:t>
            </w:r>
          </w:p>
        </w:tc>
      </w:tr>
      <w:tr>
        <w:trPr>
          <w:cantSplit/>
        </w:trPr>
        <w:tc>
          <w:tcPr>
            <w:tcW w:w="33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Material Design 3 y WCAG 2.1 AA (World Wide Web Consortium [W3C], 2018)</w:t>
            </w:r>
          </w:p>
        </w:tc>
        <w:tc>
          <w:tcPr>
            <w:tcW w:w="61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Usabilidad y accesibilidad (contraste, tamaño táctil ≥ 48 dp).</w:t>
            </w:r>
          </w:p>
        </w:tc>
      </w:tr>
      <w:tr>
        <w:trPr>
          <w:cantSplit/>
        </w:trPr>
        <w:tc>
          <w:tcPr>
            <w:tcW w:w="33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Convenciones de código (Kotlin, ESLint) y SQL en snake_case</w:t>
            </w:r>
          </w:p>
        </w:tc>
        <w:tc>
          <w:tcPr>
            <w:tcW w:w="6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Mantenibilidad y legibilidad.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4. Métricas de Calidad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2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Métricas de Calidad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2660"/>
        <w:gridCol w:w="4180"/>
        <w:gridCol w:w="2660"/>
      </w:tblGrid>
      <w:tr>
        <w:trPr>
          <w:tblHeader/>
        </w:trPr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7"/>
                <w:szCs w:val="17"/>
              </w:rPr>
              <w:t>Métrica</w:t>
            </w:r>
          </w:p>
        </w:tc>
        <w:tc>
          <w:tcPr>
            <w:tcW w:w="41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  <w:tc>
          <w:tcPr>
            <w:tcW w:w="26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7"/>
                <w:szCs w:val="17"/>
              </w:rPr>
              <w:t>Meta / Umbral aceptable</w:t>
            </w:r>
          </w:p>
        </w:tc>
      </w:tr>
      <w:tr>
        <w:trPr>
          <w:cantSplit/>
        </w:trPr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Defectos por iteración</w:t>
            </w:r>
          </w:p>
        </w:tc>
        <w:tc>
          <w:tcPr>
            <w:tcW w:w="41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Defectos abiertos al cierre de cada semana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≤ 3 menores; 0 críticos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Cobertura de pruebas de requisitos</w:t>
            </w:r>
          </w:p>
        </w:tc>
        <w:tc>
          <w:tcPr>
            <w:tcW w:w="41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RF con caso de prueba aprobado / RF de la V1</w:t>
            </w:r>
          </w:p>
        </w:tc>
        <w:tc>
          <w:tcPr>
            <w:tcW w:w="26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100% Muy alta/Alta; ≥ 90% total</w:t>
            </w:r>
          </w:p>
        </w:tc>
      </w:tr>
      <w:tr>
        <w:trPr>
          <w:cantSplit/>
        </w:trPr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Tiempo de cálculo de disponibilidad</w:t>
            </w:r>
          </w:p>
        </w:tc>
        <w:tc>
          <w:tcPr>
            <w:tcW w:w="41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Respuesta del endpoint de horarios (p95)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&lt; 200 ms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Tiempo de confirmación de reserva</w:t>
            </w:r>
          </w:p>
        </w:tc>
        <w:tc>
          <w:tcPr>
            <w:tcW w:w="41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Desde el retorno de la pasarela hasta el comprobante</w:t>
            </w:r>
          </w:p>
        </w:tc>
        <w:tc>
          <w:tcPr>
            <w:tcW w:w="26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&lt; 3 s</w:t>
            </w:r>
          </w:p>
        </w:tc>
      </w:tr>
      <w:tr>
        <w:trPr>
          <w:cantSplit/>
        </w:trPr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Tiempo para agendar</w:t>
            </w:r>
          </w:p>
        </w:tc>
        <w:tc>
          <w:tcPr>
            <w:tcW w:w="41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Tarea completa de un cliente nuevo en la UAT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&lt; 60 s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Disponibilidad</w:t>
            </w:r>
          </w:p>
        </w:tc>
        <w:tc>
          <w:tcPr>
            <w:tcW w:w="41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Tiempo en servicio en horario de atención</w:t>
            </w:r>
          </w:p>
        </w:tc>
        <w:tc>
          <w:tcPr>
            <w:tcW w:w="26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≥ 99,5%</w:t>
            </w:r>
          </w:p>
        </w:tc>
      </w:tr>
      <w:tr>
        <w:trPr>
          <w:cantSplit/>
        </w:trPr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Cumplimiento de plazos de derechos</w:t>
            </w:r>
          </w:p>
        </w:tc>
        <w:tc>
          <w:tcPr>
            <w:tcW w:w="41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Solicitudes respondidas ≤ 30 días / total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100%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Trazabilidad</w:t>
            </w:r>
          </w:p>
        </w:tc>
        <w:tc>
          <w:tcPr>
            <w:tcW w:w="41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Accesos a datos personales con registro de auditoría</w:t>
            </w:r>
          </w:p>
        </w:tc>
        <w:tc>
          <w:tcPr>
            <w:tcW w:w="26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100%</w:t>
            </w:r>
          </w:p>
        </w:tc>
      </w:tr>
      <w:tr>
        <w:trPr>
          <w:cantSplit/>
        </w:trPr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Tasa de abandono (KPI de negocio)</w:t>
            </w:r>
          </w:p>
        </w:tc>
        <w:tc>
          <w:tcPr>
            <w:tcW w:w="41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Abandonos / turnos registrados en día peak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≤ 8% (línea base 16,7%)</w:t>
            </w:r>
          </w:p>
        </w:tc>
      </w:tr>
      <w:tr>
        <w:trPr>
          <w:cantSplit/>
        </w:trPr>
        <w:tc>
          <w:tcPr>
            <w:tcW w:w="26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Tasa de no-show (KPI de negocio)</w:t>
            </w:r>
          </w:p>
        </w:tc>
        <w:tc>
          <w:tcPr>
            <w:tcW w:w="418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NO_SHOW / reservas confirmadas</w:t>
            </w:r>
          </w:p>
        </w:tc>
        <w:tc>
          <w:tcPr>
            <w:tcW w:w="26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≤ 5%</w:t>
            </w:r>
          </w:p>
        </w:tc>
      </w:tr>
      <w:tr>
        <w:trPr>
          <w:cantSplit/>
        </w:trPr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Ocupación por barbero</w:t>
            </w:r>
          </w:p>
        </w:tc>
        <w:tc>
          <w:tcPr>
            <w:tcW w:w="41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Minutos atendidos / minutos de jornada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7"/>
                <w:szCs w:val="17"/>
              </w:rPr>
              <w:t>≥ 75% en día peak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5. Aseguramiento de la Calidad (QA)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Revisión cruzada de código (pull request) antes de integrar a la rama principal.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Checklist de definición de terminado: requisito trazado, prueba escrita, documentación actualizada, sin secretos, revisión aprobada.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Revisión de privacidad por diseño en cada historia que trate datos personales (minimización, finalidad, plazo de conservación).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Auditoría semanal de documentos para asegurar coherencia de cifras, nombres y fechas entre documentos.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Análisis estático (linters) y escaneo de dependencias vulnerables.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6. Control de la Calidad (QC)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Pruebas unitarias de reglas de negocio (abono, 24 h, máximo 2 reagendamientos, estados de reserva y turno).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Pruebas de base de datos: el script DDL se valida automáticamente con 14 casos (doble reserva, reagendamiento, auditoría inmutable, abono parametrizable, plazos de derechos) — resultado: 14/14 aprobados el 06-10-2026.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Pruebas de integración web–app–API–BD–pasarela en ambiente de integración de Transbank.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Pruebas de seguridad (OWASP Top 10 básico) y de privacidad (ejercicio de los 6 derechos, retención, consentimiento).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Pruebas de aceptación (UAT) con el/la dueño/a y marcha blanca en las tres sucursales.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7. Herramientas de Calidad a Utilizar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Checklist de revisión de código y de privacidad por diseño.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Matriz de trazabilidad RF ↔ CU ↔ tablas ↔ casos de prueba.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Diagrama de Ishikawa para análisis de causa raíz de defectos críticos.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Diagrama de Pareto de defectos por módulo.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Tablero de KPIs del propio sistema (abandono, no-show, ocupación).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PGlite/PostgreSQL para pruebas automatizadas del esquema.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8. Roles y Responsabilidades de Calidad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3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Roles y Responsabilidades de Calidad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2850"/>
        <w:gridCol w:w="6650"/>
      </w:tblGrid>
      <w:tr>
        <w:trPr>
          <w:tblHeader/>
        </w:trPr>
        <w:tc>
          <w:tcPr>
            <w:tcW w:w="2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66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Responsabilidad</w:t>
            </w:r>
          </w:p>
        </w:tc>
      </w:tr>
      <w:tr>
        <w:trPr>
          <w:cantSplit/>
        </w:trPr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Analista QA (Yerko Rosales)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Plan de pruebas, casos de prueba, ejecución de UAT, métricas de calidad y revisión de documentos.</w:t>
            </w:r>
          </w:p>
        </w:tc>
      </w:tr>
      <w:tr>
        <w:trPr>
          <w:cantSplit/>
        </w:trPr>
        <w:tc>
          <w:tcPr>
            <w:tcW w:w="28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Jefe de Proyecto (Yerko Rosales)</w:t>
            </w:r>
          </w:p>
        </w:tc>
        <w:tc>
          <w:tcPr>
            <w:tcW w:w="66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Aprobar el cumplimiento de criterios de calidad en cada hito y gestionar acciones correctivas.</w:t>
            </w:r>
          </w:p>
        </w:tc>
      </w:tr>
      <w:tr>
        <w:trPr>
          <w:cantSplit/>
        </w:trPr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Desarrollador (Jonathan Ojeda)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Pruebas unitarias e integración, corrección de defectos, revisión de código del otro integrante.</w:t>
            </w:r>
          </w:p>
        </w:tc>
      </w:tr>
      <w:tr>
        <w:trPr>
          <w:cantSplit/>
        </w:trPr>
        <w:tc>
          <w:tcPr>
            <w:tcW w:w="28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Dueño/a (responsable de cumplimiento)</w:t>
            </w:r>
          </w:p>
        </w:tc>
        <w:tc>
          <w:tcPr>
            <w:tcW w:w="66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Validar la UAT y aprobar políticas de privacidad y retención.</w:t>
            </w:r>
          </w:p>
        </w:tc>
      </w:tr>
    </w:tbl>
    <w:p>
      <w:pPr>
        <w:spacing w:before="0" w:after="60"/>
      </w:pPr>
    </w:p>
    <w:p>
      <w:pPr>
        <w:pStyle w:val="Heading1"/>
        <w:keepNext/>
        <w:pageBreakBefore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Referencias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DAMA International. (2017). </w:t>
      </w:r>
      <w:r>
        <w:rPr>
          <w:rFonts w:ascii="Arial" w:hAnsi="Arial" w:cs="Arial" w:eastAsia="Arial"/>
          <w:i/>
          <w:iCs/>
          <w:sz w:val="22"/>
          <w:szCs w:val="22"/>
        </w:rPr>
        <w:t>DAMA-DMBOK: Data management body of knowledge</w:t>
      </w:r>
      <w:r>
        <w:rPr>
          <w:rFonts w:ascii="Arial" w:hAnsi="Arial" w:cs="Arial" w:eastAsia="Arial"/>
          <w:sz w:val="22"/>
          <w:szCs w:val="22"/>
        </w:rPr>
        <w:t xml:space="preserve"> (2.ª ed.). Technics Publications.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IEEE. (1998). </w:t>
      </w:r>
      <w:r>
        <w:rPr>
          <w:rFonts w:ascii="Arial" w:hAnsi="Arial" w:cs="Arial" w:eastAsia="Arial"/>
          <w:i/>
          <w:iCs/>
          <w:sz w:val="22"/>
          <w:szCs w:val="22"/>
        </w:rPr>
        <w:t>IEEE recommended practice for software requirements specifications</w:t>
      </w:r>
      <w:r>
        <w:rPr>
          <w:rFonts w:ascii="Arial" w:hAnsi="Arial" w:cs="Arial" w:eastAsia="Arial"/>
          <w:sz w:val="22"/>
          <w:szCs w:val="22"/>
        </w:rPr>
        <w:t xml:space="preserve"> (IEEE Std 830-1998). https://doi.org/10.1109/IEEESTD.1998.88286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International Organization for Standardization &amp; International Electrotechnical Commission [ISO/IEC]. (2011). </w:t>
      </w:r>
      <w:r>
        <w:rPr>
          <w:rFonts w:ascii="Arial" w:hAnsi="Arial" w:cs="Arial" w:eastAsia="Arial"/>
          <w:i/>
          <w:iCs/>
          <w:sz w:val="22"/>
          <w:szCs w:val="22"/>
        </w:rPr>
        <w:t>Systems and software engineering — Systems and software Quality Requirements and Evaluation (SQuaRE) — System and software quality models</w:t>
      </w:r>
      <w:r>
        <w:rPr>
          <w:rFonts w:ascii="Arial" w:hAnsi="Arial" w:cs="Arial" w:eastAsia="Arial"/>
          <w:sz w:val="22"/>
          <w:szCs w:val="22"/>
        </w:rPr>
        <w:t xml:space="preserve"> (ISO/IEC 25010:2011).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Kruchten, P. B. (1995). The 4+1 view model of architecture. </w:t>
      </w:r>
      <w:r>
        <w:rPr>
          <w:rFonts w:ascii="Arial" w:hAnsi="Arial" w:cs="Arial" w:eastAsia="Arial"/>
          <w:i/>
          <w:iCs/>
          <w:sz w:val="22"/>
          <w:szCs w:val="22"/>
        </w:rPr>
        <w:t>IEEE Software, 12</w:t>
      </w:r>
      <w:r>
        <w:rPr>
          <w:rFonts w:ascii="Arial" w:hAnsi="Arial" w:cs="Arial" w:eastAsia="Arial"/>
          <w:sz w:val="22"/>
          <w:szCs w:val="22"/>
        </w:rPr>
        <w:t>(6), 42–50. https://doi.org/10.1109/52.469759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Ley N° 19.628. (1999, 28 de agosto). </w:t>
      </w:r>
      <w:r>
        <w:rPr>
          <w:rFonts w:ascii="Arial" w:hAnsi="Arial" w:cs="Arial" w:eastAsia="Arial"/>
          <w:i/>
          <w:iCs/>
          <w:sz w:val="22"/>
          <w:szCs w:val="22"/>
        </w:rPr>
        <w:t>Sobre protección de la vida privada</w:t>
      </w:r>
      <w:r>
        <w:rPr>
          <w:rFonts w:ascii="Arial" w:hAnsi="Arial" w:cs="Arial" w:eastAsia="Arial"/>
          <w:sz w:val="22"/>
          <w:szCs w:val="22"/>
        </w:rPr>
        <w:t>. Diario Oficial de la República de Chile. https://www.bcn.cl/leychile/navegar?idNorma=141599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Ley N° 21.719. (2024, 13 de diciembre). </w:t>
      </w:r>
      <w:r>
        <w:rPr>
          <w:rFonts w:ascii="Arial" w:hAnsi="Arial" w:cs="Arial" w:eastAsia="Arial"/>
          <w:i/>
          <w:iCs/>
          <w:sz w:val="22"/>
          <w:szCs w:val="22"/>
        </w:rPr>
        <w:t>Regula la protección y el tratamiento de los datos personales y crea la Agencia de Protección de Datos Personales</w:t>
      </w:r>
      <w:r>
        <w:rPr>
          <w:rFonts w:ascii="Arial" w:hAnsi="Arial" w:cs="Arial" w:eastAsia="Arial"/>
          <w:sz w:val="22"/>
          <w:szCs w:val="22"/>
        </w:rPr>
        <w:t>. Diario Oficial de la República de Chile. https://www.bcn.cl/leychile/navegar?idNorma=1209272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Object Management Group [OMG]. (2017). </w:t>
      </w:r>
      <w:r>
        <w:rPr>
          <w:rFonts w:ascii="Arial" w:hAnsi="Arial" w:cs="Arial" w:eastAsia="Arial"/>
          <w:i/>
          <w:iCs/>
          <w:sz w:val="22"/>
          <w:szCs w:val="22"/>
        </w:rPr>
        <w:t>OMG Unified Modeling Language</w:t>
      </w:r>
      <w:r>
        <w:rPr>
          <w:rFonts w:ascii="Arial" w:hAnsi="Arial" w:cs="Arial" w:eastAsia="Arial"/>
          <w:sz w:val="22"/>
          <w:szCs w:val="22"/>
        </w:rPr>
        <w:t xml:space="preserve"> (versión 2.5.1). https://www.omg.org/spec/UML/2.5.1/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OWASP Foundation. (2021). </w:t>
      </w:r>
      <w:r>
        <w:rPr>
          <w:rFonts w:ascii="Arial" w:hAnsi="Arial" w:cs="Arial" w:eastAsia="Arial"/>
          <w:i/>
          <w:iCs/>
          <w:sz w:val="22"/>
          <w:szCs w:val="22"/>
        </w:rPr>
        <w:t>OWASP Top 10:2021</w:t>
      </w:r>
      <w:r>
        <w:rPr>
          <w:rFonts w:ascii="Arial" w:hAnsi="Arial" w:cs="Arial" w:eastAsia="Arial"/>
          <w:sz w:val="22"/>
          <w:szCs w:val="22"/>
        </w:rPr>
        <w:t>. https://owasp.org/Top10/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PCI Security Standards Council. (2022). </w:t>
      </w:r>
      <w:r>
        <w:rPr>
          <w:rFonts w:ascii="Arial" w:hAnsi="Arial" w:cs="Arial" w:eastAsia="Arial"/>
          <w:i/>
          <w:iCs/>
          <w:sz w:val="22"/>
          <w:szCs w:val="22"/>
        </w:rPr>
        <w:t>Payment Card Industry Data Security Standard</w:t>
      </w:r>
      <w:r>
        <w:rPr>
          <w:rFonts w:ascii="Arial" w:hAnsi="Arial" w:cs="Arial" w:eastAsia="Arial"/>
          <w:sz w:val="22"/>
          <w:szCs w:val="22"/>
        </w:rPr>
        <w:t xml:space="preserve"> (versión 4.0). https://www.pcisecuritystandards.org/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World Wide Web Consortium [W3C]. (2018). </w:t>
      </w:r>
      <w:r>
        <w:rPr>
          <w:rFonts w:ascii="Arial" w:hAnsi="Arial" w:cs="Arial" w:eastAsia="Arial"/>
          <w:i/>
          <w:iCs/>
          <w:sz w:val="22"/>
          <w:szCs w:val="22"/>
        </w:rPr>
        <w:t>Web Content Accessibility Guidelines (WCAG) 2.1</w:t>
      </w:r>
      <w:r>
        <w:rPr>
          <w:rFonts w:ascii="Arial" w:hAnsi="Arial" w:cs="Arial" w:eastAsia="Arial"/>
          <w:sz w:val="22"/>
          <w:szCs w:val="22"/>
        </w:rPr>
        <w:t>. https://www.w3.org/TR/WCAG21/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Plan de Gestión de la Calidad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Yerko Rosales, Jonathan Ojeda</dc:creator>
  <cp:lastModifiedBy>Un-named</cp:lastModifiedBy>
  <cp:revision>1</cp:revision>
  <dcterms:created xsi:type="dcterms:W3CDTF">2026-08-27T15:54:56.701Z</dcterms:created>
  <dcterms:modified xsi:type="dcterms:W3CDTF">2026-08-27T15:54:56.702Z</dcterms:modified>
  <dc:title>09_Plan_Gestion_Calidad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