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14:paraId="6803E4C4" w14:textId="77777777" w:rsidR="003A56F9" w:rsidRDefault="00000000">
      <w:pPr>
        <w:spacing w:before="400" w:after="400"/>
        <w:jc w:val="center"/>
      </w:pPr>
      <w:r>
        <w:rPr>
          <w:b/>
          <w:bCs/>
          <w:color w:val="1F3864"/>
          <w:sz w:val="32"/>
          <w:szCs w:val="32"/>
        </w:rPr>
        <w:t>DUOC UC</w:t>
      </w:r>
    </w:p>
    <w:p w14:paraId="69C650E8" w14:textId="77777777" w:rsidR="003A56F9" w:rsidRDefault="00000000">
      <w:pPr>
        <w:spacing w:after="600"/>
        <w:jc w:val="center"/>
      </w:pPr>
      <w:r>
        <w:rPr>
          <w:sz w:val="22"/>
          <w:szCs w:val="22"/>
        </w:rPr>
        <w:t>Escuela de Informática y Telecomunicaciones</w:t>
      </w:r>
    </w:p>
    <w:p w14:paraId="781AD5AE" w14:textId="77777777" w:rsidR="003A56F9" w:rsidRDefault="00000000">
      <w:pPr>
        <w:spacing w:before="800" w:after="200"/>
        <w:jc w:val="center"/>
      </w:pPr>
      <w:r>
        <w:rPr>
          <w:b/>
          <w:bCs/>
          <w:color w:val="1F3864"/>
          <w:sz w:val="32"/>
          <w:szCs w:val="32"/>
        </w:rPr>
        <w:t>Acta de Cierre del Proyecto</w:t>
      </w:r>
    </w:p>
    <w:p w14:paraId="402B79DA" w14:textId="77777777" w:rsidR="008C0EC9" w:rsidRDefault="00000000">
      <w:pPr>
        <w:spacing w:after="800"/>
        <w:jc w:val="center"/>
        <w:rPr>
          <w:b/>
          <w:bCs/>
        </w:rPr>
      </w:pPr>
      <w:r>
        <w:rPr>
          <w:b/>
          <w:bCs/>
        </w:rPr>
        <w:t>Proyecto Barbería Big-Boys</w:t>
      </w:r>
    </w:p>
    <w:p w14:paraId="7FFFE397" w14:textId="77777777" w:rsidR="008C0EC9" w:rsidRDefault="00000000">
      <w:pPr>
        <w:spacing w:after="800"/>
        <w:jc w:val="center"/>
        <w:rPr>
          <w:b/>
          <w:bCs/>
        </w:rPr>
      </w:pPr>
      <w:r>
        <w:rPr>
          <w:b/>
          <w:bCs/>
        </w:rPr>
        <w:t>—</w:t>
      </w:r>
    </w:p>
    <w:p w14:paraId="388468A6" w14:textId="5EEE88B8" w:rsidR="003A56F9" w:rsidRDefault="00000000">
      <w:pPr>
        <w:spacing w:after="800"/>
        <w:jc w:val="center"/>
      </w:pPr>
      <w:r>
        <w:rPr>
          <w:b/>
          <w:bCs/>
        </w:rPr>
        <w:t>Sistema de agendamiento y gestión (web + app móvil)</w:t>
      </w:r>
      <w:proofErr w:type="gramStart"/>
      <w:r>
        <w:rPr>
          <w:b/>
          <w:bCs/>
        </w:rPr>
      </w:r>
      <w:proofErr w:type="gramEnd"/>
      <w:r>
        <w:rPr>
          <w:b/>
          <w:bCs/>
        </w:rPr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Asignatura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 w:val="false"/>
                <w:color w:val="000000"/>
                <w:sz w:val="20"/>
                <w:szCs w:val="20"/>
              </w:rPr>
              <w:t>PTY4614 — Capstone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/>
                <w:color w:val="000000"/>
                <w:sz w:val="20"/>
                <w:szCs w:val="20"/>
              </w:rPr>
              <w:t>CAPSTONE_011V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Docente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/>
                <w:color w:val="000000"/>
                <w:sz w:val="20"/>
                <w:szCs w:val="20"/>
              </w:rPr>
              <w:t>Fernando Herrera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Integrantes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/>
                <w:color w:val="000000"/>
                <w:sz w:val="20"/>
                <w:szCs w:val="20"/>
              </w:rPr>
              <w:t>Yerko Rosales (Jefe de Proyecto, Analista y Diseño UX/UI) · Jonathan Ojeda (Desarrollo Backend y Base de Datos)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Fecha de entrega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/>
                <w:color w:val="000000"/>
                <w:sz w:val="20"/>
                <w:szCs w:val="20"/>
              </w:rPr>
              <w:t>13 de noviembre de 2026 (borrador preparado el 06-10-2026)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 w:val="false"/>
                <w:color w:val="000000"/>
                <w:sz w:val="20"/>
                <w:szCs w:val="20"/>
              </w:rPr>
              <w:t>0.9 (borrador)</w:t>
            </w:r>
          </w:p>
        </w:tc>
      </w:tr>
    </w:tbl>
    <w:p>
      <w:pPr>
        <w:pBdr>
          <w:left w:val="single" w:sz="18" w:space="6" w:color="2E74B5"/>
        </w:pBdr>
        <w:shd w:val="clear" w:color="auto" w:fill="EAF1FB"/>
        <w:spacing w:before="80" w:after="140" w:line="264" w:lineRule="auto"/>
        <w:ind w:left="120" w:right="120"/>
      </w:pPr>
      <w:r>
        <w:rPr>
          <w:rFonts w:ascii="Arial" w:hAnsi="Arial" w:cs="Arial" w:eastAsia="Arial"/>
          <w:b/>
          <w:bCs/>
          <w:sz w:val="21"/>
          <w:szCs w:val="21"/>
        </w:rPr>
        <w:t xml:space="preserve">Nota: </w:t>
      </w:r>
      <w:r>
        <w:rPr>
          <w:rFonts w:ascii="Arial" w:hAnsi="Arial" w:cs="Arial" w:eastAsia="Arial"/>
          <w:sz w:val="21"/>
          <w:szCs w:val="21"/>
        </w:rPr>
        <w:t>Documento preparado por anticipado como borrador. Las columnas de cumplimiento, desempeño real y firmas se completarán al cierre (13-11-2026).</w:t>
      </w: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1. Introducción</w:t>
      </w:r>
    </w:p>
    <w:p>
      <w:pPr>
        <w:spacing w:before="0" w:after="120" w:line="276" w:lineRule="auto"/>
        <w:jc w:val="both"/>
      </w:pPr>
      <w:r>
        <w:rPr>
          <w:rFonts w:ascii="Arial" w:hAnsi="Arial" w:cs="Arial" w:eastAsia="Arial"/>
          <w:sz w:val="22"/>
          <w:szCs w:val="22"/>
        </w:rPr>
        <w:t>La presente Acta formaliza el cierre del Proyecto Barbería Big-Boys, confirma el cumplimiento de los objetivos del Acta de Constitución, la aceptación de los entregables por parte del patrocinador y la liberación de los recursos.</w:t>
      </w: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2. Confirmación del Cumplimiento de Objetivos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1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Confirmación del Cumplimiento de Objetivos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5225"/>
        <w:gridCol w:w="1425"/>
        <w:gridCol w:w="2850"/>
      </w:tblGrid>
      <w:tr>
        <w:trPr>
          <w:tblHeader/>
        </w:trPr>
        <w:tc>
          <w:tcPr>
            <w:tcW w:w="522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Objetivo (del Acta de Constitución)</w:t>
            </w:r>
          </w:p>
        </w:tc>
        <w:tc>
          <w:tcPr>
            <w:tcW w:w="142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¿Cumplido?</w:t>
            </w:r>
          </w:p>
        </w:tc>
        <w:tc>
          <w:tcPr>
            <w:tcW w:w="28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Observación</w:t>
            </w:r>
          </w:p>
        </w:tc>
      </w:tr>
      <w:tr>
        <w:trPr>
          <w:cantSplit/>
        </w:trPr>
        <w:tc>
          <w:tcPr>
            <w:tcW w:w="52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OE1 — Perfil de cliente y agendamiento del servicio habitual o nuevo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[Sí/No/Parcial]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</w:trPr>
        <w:tc>
          <w:tcPr>
            <w:tcW w:w="52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OE2 — Abono de reserva de $3.000 que asegura asistencia y cupo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[Sí/No/Parcial]</w:t>
            </w:r>
          </w:p>
        </w:tc>
        <w:tc>
          <w:tcPr>
            <w:tcW w:w="28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</w:trPr>
        <w:tc>
          <w:tcPr>
            <w:tcW w:w="52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OE3 — Ingreso como invitado con pop-up promocional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[Sí/No/Parcial]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</w:trPr>
        <w:tc>
          <w:tcPr>
            <w:tcW w:w="52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OE4 — Perfiles de colaborador y administrador que reemplazan el Excel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[Sí/No/Parcial]</w:t>
            </w:r>
          </w:p>
        </w:tc>
        <w:tc>
          <w:tcPr>
            <w:tcW w:w="28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</w:trPr>
        <w:tc>
          <w:tcPr>
            <w:tcW w:w="52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OE5 — Cumplimiento anticipado de la Ley N° 21.719 y gobierno de datos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[Sí/No/Parcial]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60"/>
      </w:pP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3. Entregables Aceptados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2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Entregables Aceptados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4750"/>
        <w:gridCol w:w="1900"/>
        <w:gridCol w:w="2850"/>
      </w:tblGrid>
      <w:tr>
        <w:trPr>
          <w:tblHeader/>
        </w:trPr>
        <w:tc>
          <w:tcPr>
            <w:tcW w:w="47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Entregable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28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Aceptado por</w:t>
            </w:r>
          </w:p>
        </w:tc>
      </w:tr>
      <w:tr>
        <w:trPr>
          <w:cantSplit/>
        </w:trPr>
        <w:tc>
          <w:tcPr>
            <w:tcW w:w="4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Sitio web y app Android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[Aceptado]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Dueño/a</w:t>
            </w:r>
          </w:p>
        </w:tc>
      </w:tr>
      <w:tr>
        <w:trPr>
          <w:cantSplit/>
        </w:trPr>
        <w:tc>
          <w:tcPr>
            <w:tcW w:w="47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API y base de datos PostgreSQL (script DDL)</w:t>
            </w:r>
          </w:p>
        </w:tc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[Aceptado]</w:t>
            </w:r>
          </w:p>
        </w:tc>
        <w:tc>
          <w:tcPr>
            <w:tcW w:w="28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Docente / Dueño/a</w:t>
            </w:r>
          </w:p>
        </w:tc>
      </w:tr>
      <w:tr>
        <w:trPr>
          <w:cantSplit/>
        </w:trPr>
        <w:tc>
          <w:tcPr>
            <w:tcW w:w="4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Documentación de gestión y técnica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[Aceptado]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Docente</w:t>
            </w:r>
          </w:p>
        </w:tc>
      </w:tr>
      <w:tr>
        <w:trPr>
          <w:cantSplit/>
        </w:trPr>
        <w:tc>
          <w:tcPr>
            <w:tcW w:w="47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Políticas de privacidad y términos publicados</w:t>
            </w:r>
          </w:p>
        </w:tc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[Aceptado]</w:t>
            </w:r>
          </w:p>
        </w:tc>
        <w:tc>
          <w:tcPr>
            <w:tcW w:w="28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Dueño/a</w:t>
            </w:r>
          </w:p>
        </w:tc>
      </w:tr>
      <w:tr>
        <w:trPr>
          <w:cantSplit/>
        </w:trPr>
        <w:tc>
          <w:tcPr>
            <w:tcW w:w="4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Manual de usuario e informe final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[Aceptado]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Docente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4. Resumen de Desempeño Final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3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Resumen de Desempeño Final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1900"/>
        <w:gridCol w:w="4275"/>
        <w:gridCol w:w="3325"/>
      </w:tblGrid>
      <w:tr>
        <w:trPr>
          <w:tblHeader/>
        </w:trPr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Dimensión</w:t>
            </w:r>
          </w:p>
        </w:tc>
        <w:tc>
          <w:tcPr>
            <w:tcW w:w="427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Planificado</w:t>
            </w:r>
          </w:p>
        </w:tc>
        <w:tc>
          <w:tcPr>
            <w:tcW w:w="332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Real</w:t>
            </w:r>
          </w:p>
        </w:tc>
      </w:tr>
      <w:tr>
        <w:trPr>
          <w:cantSplit/>
        </w:trPr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Alcance</w:t>
            </w:r>
          </w:p>
        </w:tc>
        <w:tc>
          <w:tcPr>
            <w:tcW w:w="42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58 RF de la V1 y 11 RNF</w:t>
            </w:r>
          </w:p>
        </w:tc>
        <w:tc>
          <w:tcPr>
            <w:tcW w:w="33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</w:trPr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Cronograma</w:t>
            </w:r>
          </w:p>
        </w:tc>
        <w:tc>
          <w:tcPr>
            <w:tcW w:w="427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Entrega 13-11-2026; defensa 27-11-2026</w:t>
            </w:r>
          </w:p>
        </w:tc>
        <w:tc>
          <w:tcPr>
            <w:tcW w:w="33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</w:trPr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Costo</w:t>
            </w:r>
          </w:p>
        </w:tc>
        <w:tc>
          <w:tcPr>
            <w:tcW w:w="42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Línea base $2.108.284</w:t>
            </w:r>
          </w:p>
        </w:tc>
        <w:tc>
          <w:tcPr>
            <w:tcW w:w="33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60"/>
      </w:pP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5. Liberación de Recursos</w:t>
      </w:r>
    </w:p>
    <w:p>
      <w:pPr>
        <w:spacing w:before="0" w:after="120" w:line="276" w:lineRule="auto"/>
        <w:jc w:val="both"/>
      </w:pPr>
      <w:r>
        <w:rPr>
          <w:rFonts w:ascii="Arial" w:hAnsi="Arial" w:cs="Arial" w:eastAsia="Arial"/>
          <w:sz w:val="22"/>
          <w:szCs w:val="22"/>
        </w:rPr>
        <w:t>Al cierre se liberan los integrantes del equipo, se transfieren al patrocinador las credenciales de administración (de forma segura), el repositorio y la documentación, y se revocan los accesos del equipo a los datos de producción.</w:t>
      </w: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6. Aprobación de Cierre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4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Aprobación de Cierre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3325"/>
        <w:gridCol w:w="3325"/>
        <w:gridCol w:w="2850"/>
      </w:tblGrid>
      <w:tr>
        <w:trPr>
          <w:tblHeader/>
        </w:trPr>
        <w:tc>
          <w:tcPr>
            <w:tcW w:w="332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332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28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Firma / Fecha</w:t>
            </w:r>
          </w:p>
        </w:tc>
      </w:tr>
      <w:tr>
        <w:trPr>
          <w:cantSplit/>
        </w:trPr>
        <w:tc>
          <w:tcPr>
            <w:tcW w:w="33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[Nombre por validar]</w:t>
            </w:r>
          </w:p>
        </w:tc>
        <w:tc>
          <w:tcPr>
            <w:tcW w:w="33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Patrocinador / Cliente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</w:trPr>
        <w:tc>
          <w:tcPr>
            <w:tcW w:w="33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Yerko Rosales</w:t>
            </w:r>
          </w:p>
        </w:tc>
        <w:tc>
          <w:tcPr>
            <w:tcW w:w="33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Jefe de Proyecto</w:t>
            </w:r>
          </w:p>
        </w:tc>
        <w:tc>
          <w:tcPr>
            <w:tcW w:w="28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</w:trPr>
        <w:tc>
          <w:tcPr>
            <w:tcW w:w="33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Fernando Herrera</w:t>
            </w:r>
          </w:p>
        </w:tc>
        <w:tc>
          <w:tcPr>
            <w:tcW w:w="33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Docente Capstone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60"/>
      </w:pPr>
    </w:p>
    <w:p>
      <w:pPr>
        <w:pStyle w:val="Heading1"/>
        <w:keepNext/>
        <w:pageBreakBefore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Referencias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Project Management Institute [PMI]. (2021). </w:t>
      </w:r>
      <w:r>
        <w:rPr>
          <w:rFonts w:ascii="Arial" w:hAnsi="Arial" w:cs="Arial" w:eastAsia="Arial"/>
          <w:i/>
          <w:iCs/>
          <w:sz w:val="22"/>
          <w:szCs w:val="22"/>
        </w:rPr>
        <w:t>A guide to the project management body of knowledge (PMBOK® guide)</w:t>
      </w:r>
      <w:r>
        <w:rPr>
          <w:rFonts w:ascii="Arial" w:hAnsi="Arial" w:cs="Arial" w:eastAsia="Arial"/>
          <w:sz w:val="22"/>
          <w:szCs w:val="22"/>
        </w:rPr>
        <w:t xml:space="preserve"> (7.ª ed.). Project Management Institute.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Página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Acta de Cierre del Proyecto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Yerko Rosales, Jonathan Ojeda</dc:creator>
  <cp:lastModifiedBy>Un-named</cp:lastModifiedBy>
  <cp:revision>1</cp:revision>
  <dcterms:created xsi:type="dcterms:W3CDTF">2026-08-27T15:54:57.541Z</dcterms:created>
  <dcterms:modified xsi:type="dcterms:W3CDTF">2026-08-27T15:54:57.542Z</dcterms:modified>
  <dc:title>13_Acta_de_Cierre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