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los Riesgos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los Riesgos del Proyecto Barbería Big-Boys define la metodología para identificar, analizar, responder y monitorear los riesgos del proyecto y del producto. Sigue el enfoque de gestión de riesgos del PMBOK (Project Management Institute [PMI], 2021), incorpora explícitamente el riesgo regulatorio de la Ley N° 21.719 (Ley N° 21.719, 2024) y cuantifica el riesgo evitado de sanciones como valor agregado del producto.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Metodología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Identificación en cada reunión semanal y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cualitativo: probabilidad (1–5) × impacto (1–5); nivel Alto ≥ 15, Medio 8–14, Bajo ≤ 7.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Estrategias: evitar, mitigar, transferir o aceptar.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Monitoreo semanal; los riesgos Altos se informan al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Registro de Riesgos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Riesgos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280"/>
        <w:gridCol w:w="950"/>
        <w:gridCol w:w="380"/>
        <w:gridCol w:w="380"/>
        <w:gridCol w:w="855"/>
        <w:gridCol w:w="2945"/>
        <w:gridCol w:w="11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ID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Riesgo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Categoría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</w:t>
            </w:r>
          </w:p>
        </w:tc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Nivel</w:t>
            </w:r>
          </w:p>
        </w:tc>
        <w:tc>
          <w:tcPr>
            <w:tcW w:w="29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Respuesta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Sanción por incumplimiento de la normativa de datos personales (Ley N° 21.719) al entrar en vigencia el 01-12-2026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Cumplimiento desde el diseño: consentimientos, «Mis datos», RAT, auditoría, retención, procedimiento de brechas y políticas publicadas antes del lanzamiento.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(responsable de cumplimiento) / YR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Atraso en la migración de Cloud Firestore a PostgreSQL (actividad crítica 1.4.3)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(16)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Priorizar el flujo de reserva con abono; reutilizar pantallas; punto de control el 23-10-2026; reserva de contingencia.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Brecha de seguridad o exposición de credenciales (se detectó una clave de correo en el código del prototipo)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Alto (15)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Revocar la clave expuesta, mover secretos a variables de entorno/gestor, revisión de código, TLS, cifrado en reposo y procedimiento de notificación.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R-04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Baja adopción de la reserva online por los clientes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Pop-up de invitado con beneficio, reserva en menos de 60 s, cupón de bienvenida y difusión en el local.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/ 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Fallas o demoras en la integración con la pasarela de pago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(12)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de integración de Transbank desde el 19-10; alternativa Mercado Pago; pruebas de casos de rechazo.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R-06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Resistencia del personal a dejar la planilla Excel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Organizacional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Capacitación de 30 min, guía rápida, registro de atención en 3 toques y marcha blanca acompañada.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Comisión mínima de la pasarela eleva el costo del abono a 3,7–5,7%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Financiero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Monto de abono parametrizable; evaluar Mercado Pago; informar al dueño/a.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R-08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Pérdida de datos por falla del servidor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Continuidad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Respaldo diario cifrado con 30 días de retención, prueba de restauración trimestral (RPO 24 h, RTO 4 h).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R-09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 de datos al escalar a un proveedor sin región en Chile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(6)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Preferir regiones en Chile (Azure Chile Central, GCP Santiago); si no, garantías contractuales documentadas.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R-10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Supuestos de demanda, servicio de los clientes perdidos y no-show incorrectos (KPIs y ROI sobre o subestimados)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Validar supuestos con el dueño/a; análisis de sensibilidad del precio (Barba a S. Completo); medir abandono y ticket reales desde la marcha blanca.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Doble reserva del mismo horario por concurrencia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Restricción de exclusión en PostgreSQL (verificada) y manejo del error 409 en la interfaz.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Postergación de la Ley N° 21.719 a diciembre de 2027 (proyecto de ley en trámite)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Regulatorio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(3)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Sin impacto en el producto: ya cumple; se mantiene como valor agregado.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Disponibilidad limitada del equipo (2 integrantes, carga académica)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Recursos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Reunión semanal fija, tareas pequeñas en tablero, trabajo asíncrono vía GitHub.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Matriz de Probabilidad e Impacto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Probabilidad e Impacto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5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Probabilidad \ Impacto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1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2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3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4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5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5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R-07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4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3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R-04, R-06, R-10, R-13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R-05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R-03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R-09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R-11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R-01, R-08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1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Riesgo Regulatorio y Valor del Cumplimiento Anticipado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Ley N° 21.719 entra en plena vigencia el 1 de diciembre de 2026, tres semanas después de la entrega del proyecto. Un sistema que no cumpla quedaría expuesto a sanciones desde su primer mes de operación. Al diseñar el sistema cumpliendo desde su lanzamiento, el riesgo R-01 se trata con la estrategia </w:t>
      </w:r>
      <w:r>
        <w:rPr>
          <w:rFonts w:ascii="Arial" w:hAnsi="Arial" w:cs="Arial" w:eastAsia="Arial"/>
          <w:b/>
          <w:bCs/>
          <w:sz w:val="22"/>
          <w:szCs w:val="22"/>
        </w:rPr>
        <w:t>evitar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proyecto de ley que propone postergar la vigencia al 1 de diciembre de 2027 (ingresado al Senado el 1 de septiembre de 2026; Carey Abogados, 2026) se menciona solo como contexto: no afecta al producto, porque ya cumple (R-12).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Seguimiento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Responsable del plan: Jefe de Proyecto. Revisión semanal; los cambios de nivel se registran en el Informe de Estado de Avance (12).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Registro de Cambios de este Plan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Cambios de este Plan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40"/>
        <w:gridCol w:w="1710"/>
        <w:gridCol w:w="6650"/>
      </w:tblGrid>
      <w:tr>
        <w:trPr>
          <w:tblHeader/>
        </w:trPr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1.0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Versión inicial: 13 riesgos, matriz y riesgo regulatorio cuantificado.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Plan de Gestión de los Riesgos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15_Plan_Gestion_Riesgos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